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 </w:t>
      </w:r>
      <w:r>
        <w:rPr>
          <w:rFonts w:hint="eastAsia"/>
          <w:sz w:val="43"/>
          <w:szCs w:val="43"/>
          <w:lang w:val="en-US" w:eastAsia="zh-CN"/>
        </w:rPr>
        <w:t>东莞市商业学校改扩建</w:t>
      </w:r>
      <w:r>
        <w:rPr>
          <w:rFonts w:hint="eastAsia"/>
          <w:sz w:val="43"/>
          <w:szCs w:val="43"/>
        </w:rPr>
        <w:t>专项债券项目资金绩效评价报告</w:t>
      </w:r>
    </w:p>
    <w:p>
      <w:pPr>
        <w:numPr>
          <w:ilvl w:val="0"/>
          <w:numId w:val="1"/>
        </w:numPr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项目概要 </w:t>
      </w:r>
    </w:p>
    <w:p>
      <w:pPr>
        <w:numPr>
          <w:ilvl w:val="0"/>
          <w:numId w:val="2"/>
        </w:numPr>
        <w:rPr>
          <w:sz w:val="31"/>
          <w:szCs w:val="31"/>
        </w:rPr>
      </w:pPr>
      <w:r>
        <w:rPr>
          <w:rFonts w:hint="eastAsia"/>
          <w:sz w:val="31"/>
          <w:szCs w:val="31"/>
        </w:rPr>
        <w:t>项目概况</w:t>
      </w:r>
    </w:p>
    <w:p>
      <w:pPr>
        <w:numPr>
          <w:ilvl w:val="0"/>
          <w:numId w:val="0"/>
        </w:numPr>
        <w:ind w:firstLine="620" w:firstLineChars="200"/>
        <w:rPr>
          <w:sz w:val="31"/>
          <w:szCs w:val="31"/>
        </w:rPr>
      </w:pPr>
      <w:r>
        <w:rPr>
          <w:rFonts w:hint="eastAsia"/>
          <w:sz w:val="31"/>
          <w:szCs w:val="31"/>
        </w:rPr>
        <w:t>东莞市商业学校位于莞城街道学院路249号，校内改扩建项目建设内容主要包括1栋综合楼、配电房及相关配套工程，总建筑面积约为31579.76平方米。项目概算总投资为14371.03万元，其中：建安工程费用11973.59万元，工程其他费用1454.54万元，预备费671.41万元，代建费271.49万元。 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绩效目标</w:t>
      </w:r>
    </w:p>
    <w:p>
      <w:pPr>
        <w:numPr>
          <w:ilvl w:val="0"/>
          <w:numId w:val="0"/>
        </w:numPr>
        <w:ind w:leftChars="0" w:firstLine="620" w:firstLineChars="20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1、产出目标：完成年度市财政资金投资额3970万元，</w:t>
      </w:r>
      <w:r>
        <w:rPr>
          <w:rFonts w:hint="eastAsia"/>
          <w:sz w:val="31"/>
          <w:szCs w:val="31"/>
          <w:lang w:eastAsia="zh-CN"/>
        </w:rPr>
        <w:t>主要</w:t>
      </w:r>
      <w:r>
        <w:rPr>
          <w:rFonts w:hint="eastAsia"/>
          <w:sz w:val="31"/>
          <w:szCs w:val="31"/>
        </w:rPr>
        <w:t>完成施工及</w:t>
      </w:r>
      <w:r>
        <w:rPr>
          <w:rFonts w:hint="eastAsia"/>
          <w:sz w:val="31"/>
          <w:szCs w:val="31"/>
          <w:lang w:val="en-US" w:eastAsia="zh-CN"/>
        </w:rPr>
        <w:t>咨询</w:t>
      </w:r>
      <w:r>
        <w:rPr>
          <w:rFonts w:hint="eastAsia"/>
          <w:sz w:val="31"/>
          <w:szCs w:val="31"/>
        </w:rPr>
        <w:t>服务类结算。</w:t>
      </w:r>
    </w:p>
    <w:p>
      <w:pPr>
        <w:numPr>
          <w:ilvl w:val="0"/>
          <w:numId w:val="0"/>
        </w:numPr>
        <w:ind w:leftChars="0" w:firstLine="620" w:firstLineChars="20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2、效果目标：项目的实施可增加学位1400个，同时改善学生的学习生活环境和教工的办公环境，从而不断提升教学成果。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评价金额及支出使用情况</w:t>
      </w:r>
      <w:r>
        <w:rPr>
          <w:rFonts w:hint="eastAsia"/>
          <w:sz w:val="31"/>
          <w:szCs w:val="31"/>
          <w:lang w:eastAsia="zh-CN"/>
        </w:rPr>
        <w:t>：年度执行率</w:t>
      </w:r>
      <w:r>
        <w:rPr>
          <w:rFonts w:hint="eastAsia"/>
          <w:sz w:val="31"/>
          <w:szCs w:val="31"/>
          <w:lang w:val="en-US" w:eastAsia="zh-CN"/>
        </w:rPr>
        <w:t>100%。</w:t>
      </w:r>
    </w:p>
    <w:p>
      <w:pPr>
        <w:numPr>
          <w:ilvl w:val="0"/>
          <w:numId w:val="0"/>
        </w:numPr>
        <w:ind w:leftChars="0"/>
        <w:rPr>
          <w:rFonts w:hint="eastAsia"/>
          <w:sz w:val="31"/>
          <w:szCs w:val="31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评价结论与绩效分析</w:t>
      </w:r>
    </w:p>
    <w:p>
      <w:pPr>
        <w:numPr>
          <w:ilvl w:val="0"/>
          <w:numId w:val="3"/>
        </w:numPr>
        <w:ind w:left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总结结论</w:t>
      </w:r>
      <w:r>
        <w:rPr>
          <w:rFonts w:hint="eastAsia"/>
          <w:sz w:val="31"/>
          <w:szCs w:val="31"/>
          <w:lang w:eastAsia="zh-CN"/>
        </w:rPr>
        <w:t>：年度执行率</w:t>
      </w:r>
      <w:r>
        <w:rPr>
          <w:rFonts w:hint="eastAsia"/>
          <w:sz w:val="31"/>
          <w:szCs w:val="31"/>
          <w:lang w:val="en-US" w:eastAsia="zh-CN"/>
        </w:rPr>
        <w:t>100%，完成施工总包结算及咨询服务类的结算。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各部分绩效分析</w:t>
      </w:r>
    </w:p>
    <w:p>
      <w:pPr>
        <w:numPr>
          <w:ilvl w:val="0"/>
          <w:numId w:val="0"/>
        </w:numPr>
        <w:ind w:leftChars="0" w:firstLine="620" w:firstLineChars="200"/>
        <w:rPr>
          <w:rFonts w:hint="eastAsia" w:eastAsiaTheme="minorEastAsia"/>
          <w:sz w:val="31"/>
          <w:szCs w:val="31"/>
          <w:lang w:eastAsia="zh-CN"/>
        </w:rPr>
      </w:pPr>
      <w:r>
        <w:rPr>
          <w:rFonts w:hint="eastAsia"/>
          <w:sz w:val="31"/>
          <w:szCs w:val="31"/>
          <w:lang w:val="en-US" w:eastAsia="zh-CN"/>
        </w:rPr>
        <w:t>2022</w:t>
      </w:r>
      <w:r>
        <w:rPr>
          <w:rFonts w:hint="eastAsia"/>
          <w:sz w:val="31"/>
          <w:szCs w:val="31"/>
          <w:lang w:eastAsia="zh-CN"/>
        </w:rPr>
        <w:t>年初，针对项目的进度，申请年度投资金额3970万元，项目主要目标是完成</w:t>
      </w:r>
      <w:r>
        <w:rPr>
          <w:rFonts w:hint="eastAsia"/>
          <w:sz w:val="31"/>
          <w:szCs w:val="31"/>
          <w:lang w:val="en-US" w:eastAsia="zh-CN"/>
        </w:rPr>
        <w:t>总包结算及咨询服务类的结算</w:t>
      </w:r>
      <w:r>
        <w:rPr>
          <w:rFonts w:hint="eastAsia"/>
          <w:sz w:val="31"/>
          <w:szCs w:val="31"/>
          <w:lang w:eastAsia="zh-CN"/>
        </w:rPr>
        <w:t>，投资金额执行率</w:t>
      </w:r>
      <w:r>
        <w:rPr>
          <w:rFonts w:hint="eastAsia"/>
          <w:sz w:val="31"/>
          <w:szCs w:val="31"/>
          <w:lang w:val="en-US" w:eastAsia="zh-CN"/>
        </w:rPr>
        <w:t>100%，期间无调整计划，预算编制、执行科学合理。</w:t>
      </w:r>
      <w:r>
        <w:rPr>
          <w:rFonts w:hint="eastAsia"/>
          <w:sz w:val="31"/>
          <w:szCs w:val="31"/>
          <w:lang w:eastAsia="zh-CN"/>
        </w:rPr>
        <w:t>项目建设后</w:t>
      </w:r>
      <w:r>
        <w:rPr>
          <w:rFonts w:hint="eastAsia"/>
          <w:sz w:val="31"/>
          <w:szCs w:val="31"/>
          <w:lang w:val="en-US" w:eastAsia="zh-CN"/>
        </w:rPr>
        <w:t>对社会</w:t>
      </w:r>
      <w:r>
        <w:rPr>
          <w:rFonts w:hint="eastAsia"/>
          <w:sz w:val="31"/>
          <w:szCs w:val="31"/>
          <w:lang w:eastAsia="zh-CN"/>
        </w:rPr>
        <w:t>提供1400个学位，对师生公众满足度进行调查，满意度≥90%。</w:t>
      </w:r>
      <w:r>
        <w:rPr>
          <w:rFonts w:hint="eastAsia"/>
          <w:sz w:val="31"/>
          <w:szCs w:val="31"/>
          <w:lang w:val="en-US" w:eastAsia="zh-CN"/>
        </w:rPr>
        <w:t>2022年，我局</w:t>
      </w:r>
      <w:r>
        <w:rPr>
          <w:rFonts w:hint="eastAsia"/>
          <w:sz w:val="31"/>
          <w:szCs w:val="31"/>
          <w:lang w:eastAsia="zh-CN"/>
        </w:rPr>
        <w:t>也组织对项目进行内审</w:t>
      </w:r>
      <w:r>
        <w:rPr>
          <w:rFonts w:hint="eastAsia"/>
          <w:sz w:val="31"/>
          <w:szCs w:val="31"/>
          <w:lang w:val="en-US" w:eastAsia="zh-CN"/>
        </w:rPr>
        <w:t>。</w:t>
      </w:r>
      <w:r>
        <w:rPr>
          <w:rFonts w:hint="eastAsia"/>
          <w:sz w:val="31"/>
          <w:szCs w:val="31"/>
          <w:lang w:eastAsia="zh-CN"/>
        </w:rPr>
        <w:t>建设期间，无发生</w:t>
      </w:r>
      <w:r>
        <w:rPr>
          <w:rFonts w:hint="eastAsia"/>
          <w:sz w:val="31"/>
          <w:szCs w:val="31"/>
        </w:rPr>
        <w:t>安全生产事故</w:t>
      </w:r>
      <w:r>
        <w:rPr>
          <w:rFonts w:hint="eastAsia"/>
          <w:sz w:val="31"/>
          <w:szCs w:val="31"/>
          <w:lang w:eastAsia="zh-CN"/>
        </w:rPr>
        <w:t>、违法违纪行为。</w:t>
      </w:r>
    </w:p>
    <w:p>
      <w:pPr>
        <w:numPr>
          <w:ilvl w:val="0"/>
          <w:numId w:val="0"/>
        </w:numPr>
        <w:ind w:left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</w:rPr>
        <w:t>三、主要绩效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31"/>
          <w:szCs w:val="31"/>
          <w:lang w:val="en-US" w:eastAsia="zh-CN"/>
        </w:rPr>
      </w:pPr>
      <w:r>
        <w:rPr>
          <w:rFonts w:hint="eastAsia"/>
          <w:sz w:val="31"/>
          <w:szCs w:val="31"/>
          <w:lang w:val="en-US" w:eastAsia="zh-CN"/>
        </w:rPr>
        <w:t xml:space="preserve">    项目于2020年12月开工，2021年年底完工并交付使用，验收合格。</w:t>
      </w:r>
      <w:bookmarkStart w:id="0" w:name="_GoBack"/>
      <w:bookmarkEnd w:id="0"/>
      <w:r>
        <w:rPr>
          <w:rFonts w:hint="eastAsia"/>
          <w:sz w:val="31"/>
          <w:szCs w:val="31"/>
          <w:lang w:val="en-US" w:eastAsia="zh-CN"/>
        </w:rPr>
        <w:t>项目后期抓紧结算审核，于2022年8月完成了总包结算及咨询服务类的结算。市财政局组织成立专项债专班小组，主动沟通协调督促。我局高度重视督促代建单位、参建单位积极配合，共同加快项目结算，合法合规支付相关的款项。</w:t>
      </w:r>
    </w:p>
    <w:p>
      <w:pPr>
        <w:numPr>
          <w:ilvl w:val="0"/>
          <w:numId w:val="0"/>
        </w:numPr>
        <w:ind w:leftChars="0"/>
        <w:rPr>
          <w:rFonts w:hint="eastAsia"/>
          <w:sz w:val="31"/>
          <w:szCs w:val="31"/>
        </w:rPr>
      </w:pPr>
      <w:r>
        <w:rPr>
          <w:rFonts w:hint="eastAsia"/>
          <w:sz w:val="31"/>
          <w:szCs w:val="31"/>
          <w:lang w:eastAsia="zh-CN"/>
        </w:rPr>
        <w:t>四、</w:t>
      </w:r>
      <w:r>
        <w:rPr>
          <w:rFonts w:hint="eastAsia"/>
          <w:sz w:val="31"/>
          <w:szCs w:val="31"/>
        </w:rPr>
        <w:t>存在问题 </w:t>
      </w:r>
    </w:p>
    <w:p>
      <w:pPr>
        <w:numPr>
          <w:ilvl w:val="0"/>
          <w:numId w:val="0"/>
        </w:numPr>
        <w:ind w:leftChars="0" w:firstLine="620" w:firstLineChars="200"/>
        <w:rPr>
          <w:rFonts w:hint="eastAsia" w:eastAsiaTheme="minorEastAsia"/>
          <w:sz w:val="31"/>
          <w:szCs w:val="31"/>
          <w:lang w:eastAsia="zh-CN"/>
        </w:rPr>
      </w:pPr>
      <w:r>
        <w:rPr>
          <w:rFonts w:hint="eastAsia"/>
          <w:sz w:val="31"/>
          <w:szCs w:val="31"/>
          <w:lang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6A804C"/>
    <w:multiLevelType w:val="singleLevel"/>
    <w:tmpl w:val="C46A804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8E8929"/>
    <w:multiLevelType w:val="singleLevel"/>
    <w:tmpl w:val="F58E89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31431E5"/>
    <w:multiLevelType w:val="singleLevel"/>
    <w:tmpl w:val="531431E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ZGEzNGViYmZjYWRlMjQwY2QyNzEwMGZmNjZiOTQifQ=="/>
  </w:docVars>
  <w:rsids>
    <w:rsidRoot w:val="509D1F3A"/>
    <w:rsid w:val="050F436C"/>
    <w:rsid w:val="06F61488"/>
    <w:rsid w:val="4E546612"/>
    <w:rsid w:val="509D1F3A"/>
    <w:rsid w:val="6922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598</Words>
  <Characters>676</Characters>
  <Lines>0</Lines>
  <Paragraphs>0</Paragraphs>
  <TotalTime>171</TotalTime>
  <ScaleCrop>false</ScaleCrop>
  <LinksUpToDate>false</LinksUpToDate>
  <CharactersWithSpaces>680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2023-06-29T09:21:00Z</dcterms:created>
  <dc:creator>骆燕斌</dc:creator>
  <cp:lastModifiedBy>骆燕斌</cp:lastModifiedBy>
  <cp:lastPrinted>2023-06-29T10:26:00Z</cp:lastPrinted>
  <dcterms:modified xsi:type="dcterms:W3CDTF">2023-06-30T02:55:58Z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A6B30F27D617439E876E8F23644E59AB_13</vt:lpwstr>
  </property>
</Properties>
</file>