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left"/>
        <w:rPr>
          <w:rFonts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　附件1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center"/>
        <w:rPr>
          <w:rFonts w:hint="default" w:ascii="Helvetica" w:hAnsi="Helvetica" w:eastAsia="Helvetica" w:cs="Helvetica"/>
        </w:rPr>
      </w:pPr>
      <w:r>
        <w:rPr>
          <w:rStyle w:val="5"/>
          <w:rFonts w:hint="default" w:ascii="Helvetica" w:hAnsi="Helvetica" w:eastAsia="Helvetica" w:cs="Helvetica"/>
        </w:rPr>
        <w:t>　　</w:t>
      </w:r>
      <w:bookmarkStart w:id="0" w:name="_GoBack"/>
      <w:r>
        <w:rPr>
          <w:rStyle w:val="5"/>
          <w:rFonts w:hint="default" w:ascii="Helvetica" w:hAnsi="Helvetica" w:eastAsia="Helvetica" w:cs="Helvetica"/>
        </w:rPr>
        <w:t>东莞市第二批教育评价改革典型案例名单</w:t>
      </w:r>
      <w:bookmarkEnd w:id="0"/>
    </w:p>
    <w:tbl>
      <w:tblPr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85"/>
        <w:gridCol w:w="402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5"/>
                <w:rFonts w:hint="default" w:ascii="Helvetica" w:hAnsi="Helvetica" w:eastAsia="Helvetica" w:cs="Helvetica"/>
                <w:bdr w:val="none" w:color="auto" w:sz="0" w:space="0"/>
              </w:rPr>
              <w:t>编号</w:t>
            </w:r>
          </w:p>
        </w:tc>
        <w:tc>
          <w:tcPr>
            <w:tcW w:w="14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5"/>
                <w:rFonts w:hint="default" w:ascii="Helvetica" w:hAnsi="Helvetica" w:eastAsia="Helvetica" w:cs="Helvetica"/>
                <w:bdr w:val="none" w:color="auto" w:sz="0" w:space="0"/>
              </w:rPr>
              <w:t>主题类别</w:t>
            </w:r>
          </w:p>
        </w:tc>
        <w:tc>
          <w:tcPr>
            <w:tcW w:w="4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5"/>
                <w:rFonts w:hint="default" w:ascii="Helvetica" w:hAnsi="Helvetica" w:eastAsia="Helvetica" w:cs="Helvetica"/>
                <w:bdr w:val="none" w:color="auto" w:sz="0" w:space="0"/>
              </w:rPr>
              <w:t>案例名称</w:t>
            </w:r>
          </w:p>
        </w:tc>
        <w:tc>
          <w:tcPr>
            <w:tcW w:w="3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5"/>
                <w:rFonts w:hint="default" w:ascii="Helvetica" w:hAnsi="Helvetica" w:eastAsia="Helvetica" w:cs="Helvetica"/>
                <w:bdr w:val="none" w:color="auto" w:sz="0" w:space="0"/>
              </w:rPr>
              <w:t>报送（实施）单位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学生评价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以大数据增值评价赋能学生全面发展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东莞市东城虎英小学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2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六五“博享生态”学生评价体系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东莞市虎门镇博涌小学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基于小学科学课标核心素养内涵的学业质量评价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东莞市寮步镇香市第一小学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4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三维度∙两策略∙一颗星——落实亮点评价，实现全景育人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东莞市常平镇中心小学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5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数智赋能慧育未来——东莞市松山湖实验中学智慧评价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东莞市松山湖实验中学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6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育人为本的“三值”教育评价体系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东莞松山湖中心小学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“集星晋级”模式驱动“三阶四维”美育评价的实践研究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8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聚焦新生适应性+巧设游考大情境——一年级入学适应性评价设计与实践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东莞市厚街镇中心小学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9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教师评价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“多维+过程+增值”视角下中职教师教学质量评价的探索与实践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东莞市汽车技术学校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10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实施青年教师培养成长评价体系，提升青年综合素养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东莞市望牛墩中学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智慧校园，数据画像，建立良性教师评价系统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东莞市凤岗镇中心小学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12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教育评价改革组织实施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五育并举巧评价，灵动育人促成长——寮步镇河滨小学灵动少年智能评价系统建设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东莞市寮步镇河滨小学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校家社协同育人模式的实施与评价——以东城实验小学“共融共容共荣”项目化活动为例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东莞市东城实验小学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学校评价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“特殊需要儿童”教育评价体系探索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清溪镇教育管理中心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用人评价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突出人岗相适，建立班主任选聘评价体系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望牛墩镇教育管理中心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10516626"/>
    <w:rsid w:val="105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2024-01-12T03:59:00Z</dcterms:created>
  <dc:creator>ZURICH</dc:creator>
  <cp:lastModifiedBy>ZURICH</cp:lastModifiedBy>
  <dcterms:modified xsi:type="dcterms:W3CDTF">2024-01-12T03:59:36Z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A307DAB473E24F2785C9890918CCDF0B_11</vt:lpwstr>
  </property>
</Properties>
</file>