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东莞市初中学业水平考试体育与健康考试平行梯悬垂攀移评分标准（调整）</w:t>
      </w:r>
    </w:p>
    <w:p>
      <w:pPr>
        <w:snapToGrid w:val="0"/>
        <w:spacing w:line="560" w:lineRule="exact"/>
        <w:ind w:firstLine="560" w:firstLineChars="200"/>
        <w:rPr>
          <w:rFonts w:hint="eastAsia" w:ascii="仿宋_GB2312" w:hAnsi="黑体" w:eastAsia="仿宋_GB2312"/>
          <w:sz w:val="28"/>
          <w:szCs w:val="32"/>
        </w:rPr>
      </w:pPr>
    </w:p>
    <w:tbl>
      <w:tblPr>
        <w:tblStyle w:val="2"/>
        <w:tblpPr w:leftFromText="180" w:rightFromText="180" w:vertAnchor="text" w:horzAnchor="page" w:tblpX="2235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935"/>
        <w:gridCol w:w="193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870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一类考生评分标准</w:t>
            </w:r>
          </w:p>
        </w:tc>
        <w:tc>
          <w:tcPr>
            <w:tcW w:w="3870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二类考生评分标准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分值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成绩（米）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成绩（米）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5.2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.2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4.4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6.4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3.2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.6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.2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0.4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.8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.8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.4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.2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.6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.2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</w:tr>
    </w:tbl>
    <w:p>
      <w:pPr>
        <w:snapToGrid w:val="0"/>
        <w:spacing w:line="560" w:lineRule="exact"/>
        <w:ind w:firstLine="560" w:firstLineChars="200"/>
        <w:rPr>
          <w:rFonts w:hint="eastAsia" w:ascii="仿宋_GB2312" w:hAnsi="黑体" w:eastAsia="仿宋_GB2312"/>
          <w:sz w:val="28"/>
          <w:szCs w:val="32"/>
        </w:rPr>
      </w:pPr>
    </w:p>
    <w:p>
      <w:pPr>
        <w:snapToGrid w:val="0"/>
        <w:spacing w:line="560" w:lineRule="exact"/>
        <w:rPr>
          <w:rFonts w:ascii="仿宋_GB2312" w:hAnsi="黑体" w:eastAsia="仿宋_GB2312"/>
          <w:sz w:val="28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28"/>
          <w:szCs w:val="32"/>
        </w:rPr>
        <w:t>备注：</w:t>
      </w:r>
    </w:p>
    <w:p>
      <w:pPr>
        <w:snapToGrid w:val="0"/>
        <w:spacing w:line="560" w:lineRule="exact"/>
        <w:ind w:firstLine="560" w:firstLineChars="200"/>
        <w:rPr>
          <w:rFonts w:ascii="仿宋_GB2312" w:hAnsi="黑体" w:eastAsia="仿宋_GB2312"/>
          <w:color w:val="417FF9"/>
          <w:sz w:val="28"/>
          <w:szCs w:val="32"/>
        </w:rPr>
      </w:pPr>
      <w:r>
        <w:rPr>
          <w:rFonts w:hint="eastAsia" w:ascii="仿宋_GB2312" w:hAnsi="黑体" w:eastAsia="仿宋_GB2312"/>
          <w:sz w:val="28"/>
          <w:szCs w:val="32"/>
        </w:rPr>
        <w:t>一类考生评分标准：普通考生；二类考生评分标准：身体健康问题、身体发育异常、营养不良及肥胖症、畸形仍然能上体育实践课的考生。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72546"/>
    <w:rsid w:val="3797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2024-03-08T01:28:00Z</dcterms:created>
  <dc:creator>琳楚</dc:creator>
  <cp:lastModifiedBy>琳楚</cp:lastModifiedBy>
  <dcterms:modified xsi:type="dcterms:W3CDTF">2024-03-08T01:29:21Z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