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napToGrid w:val="0"/>
        <w:spacing w:line="760" w:lineRule="exact"/>
        <w:jc w:val="center"/>
        <w:rPr>
          <w:rFonts w:hint="eastAsia" w:ascii="方正小标宋简体" w:hAnsi="The" w:eastAsia="方正小标宋简体"/>
          <w:color w:val="000000"/>
          <w:spacing w:val="-12"/>
          <w:sz w:val="44"/>
          <w:szCs w:val="44"/>
        </w:rPr>
      </w:pPr>
      <w:r>
        <w:rPr>
          <w:rFonts w:hint="eastAsia" w:ascii="方正小标宋简体" w:hAnsi="The" w:eastAsia="方正小标宋简体"/>
          <w:color w:val="000000"/>
          <w:spacing w:val="-12"/>
          <w:sz w:val="44"/>
          <w:szCs w:val="44"/>
        </w:rPr>
        <w:t>2023年引体向上（男）、平行梯悬垂攀移（女）</w:t>
      </w:r>
    </w:p>
    <w:p>
      <w:pPr>
        <w:snapToGrid w:val="0"/>
        <w:spacing w:line="760" w:lineRule="exact"/>
        <w:jc w:val="center"/>
        <w:rPr>
          <w:rFonts w:hint="eastAsia" w:ascii="方正小标宋简体" w:hAnsi="The" w:eastAsia="方正小标宋简体"/>
          <w:color w:val="000000"/>
          <w:spacing w:val="-12"/>
          <w:sz w:val="44"/>
          <w:szCs w:val="44"/>
        </w:rPr>
      </w:pPr>
      <w:r>
        <w:rPr>
          <w:rFonts w:hint="eastAsia" w:ascii="方正小标宋简体" w:hAnsi="The" w:eastAsia="方正小标宋简体"/>
          <w:color w:val="000000"/>
          <w:spacing w:val="-12"/>
          <w:sz w:val="44"/>
          <w:szCs w:val="44"/>
        </w:rPr>
        <w:t>考试项目临时评分标准</w:t>
      </w:r>
    </w:p>
    <w:p>
      <w:pPr>
        <w:spacing w:line="600" w:lineRule="exact"/>
        <w:ind w:firstLine="624" w:firstLineChars="150"/>
        <w:jc w:val="left"/>
        <w:rPr>
          <w:rFonts w:hint="eastAsia" w:ascii="方正小标宋_GBK" w:hAnsi="The" w:eastAsia="方正小标宋_GBK"/>
          <w:color w:val="000000"/>
          <w:spacing w:val="-12"/>
          <w:sz w:val="44"/>
          <w:szCs w:val="44"/>
        </w:rPr>
      </w:pPr>
    </w:p>
    <w:p>
      <w:pPr>
        <w:spacing w:line="560" w:lineRule="exact"/>
        <w:ind w:firstLine="800" w:firstLineChars="25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1.一类评分标准（普通考生）</w:t>
      </w:r>
    </w:p>
    <w:tbl>
      <w:tblPr>
        <w:tblStyle w:val="2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177"/>
        <w:gridCol w:w="2693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57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</w:pPr>
            <w:bookmarkStart w:id="0" w:name="_Hlk97621467"/>
            <w:r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  <w:t>分值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  <w:t>引体向上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  <w:t>平行梯悬垂攀移</w:t>
            </w: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57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  <w:t>男（次）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等线"/>
                <w:b/>
                <w:color w:val="000000"/>
                <w:kern w:val="0"/>
                <w:sz w:val="32"/>
                <w:szCs w:val="32"/>
              </w:rPr>
              <w:t>女（米）</w:t>
            </w: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  <w:bookmarkEnd w:id="0"/>
    </w:tbl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bookmarkStart w:id="1" w:name="_GoBack"/>
      <w:bookmarkEnd w:id="1"/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</w:t>
      </w:r>
      <w:r>
        <w:rPr>
          <w:rFonts w:ascii="黑体" w:hAnsi="黑体" w:eastAsia="黑体"/>
          <w:color w:val="000000"/>
          <w:sz w:val="32"/>
          <w:szCs w:val="32"/>
        </w:rPr>
        <w:t>.</w:t>
      </w:r>
      <w:r>
        <w:rPr>
          <w:rFonts w:hint="eastAsia" w:ascii="黑体" w:hAnsi="黑体" w:eastAsia="黑体"/>
          <w:color w:val="000000"/>
          <w:sz w:val="32"/>
          <w:szCs w:val="32"/>
        </w:rPr>
        <w:t>二类评分标准（身体健康问题、身体发育异常、营养不良及肥胖症、畸形等仍然能上体育实践课的考生）</w:t>
      </w:r>
    </w:p>
    <w:tbl>
      <w:tblPr>
        <w:tblStyle w:val="2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177"/>
        <w:gridCol w:w="2693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57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  <w:t>分值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  <w:t>引体向上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  <w:t>平行梯悬垂攀移</w:t>
            </w: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57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  <w:t>男（次）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color w:val="000000"/>
                <w:kern w:val="0"/>
                <w:sz w:val="32"/>
                <w:szCs w:val="32"/>
              </w:rPr>
              <w:t>女（米）</w:t>
            </w: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7.2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6.4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5.6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5.2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4.8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4.4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1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h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89"/>
    <w:rsid w:val="0097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2023-03-01T08:06:00Z</dcterms:created>
  <dc:creator>琳楚</dc:creator>
  <cp:lastModifiedBy>琳楚</cp:lastModifiedBy>
  <dcterms:modified xsi:type="dcterms:W3CDTF">2023-03-01T08:07:42Z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