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B5" w:rsidRDefault="007C5F6A" w:rsidP="00E72DEC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东莞市教育局</w:t>
      </w:r>
    </w:p>
    <w:p w:rsidR="00B301B5" w:rsidRDefault="007C5F6A" w:rsidP="00E72DE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行政</w:t>
      </w:r>
      <w:r>
        <w:rPr>
          <w:rFonts w:eastAsia="方正小标宋简体"/>
          <w:sz w:val="44"/>
          <w:szCs w:val="44"/>
        </w:rPr>
        <w:t>执法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观察期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制度</w:t>
      </w:r>
      <w:r>
        <w:rPr>
          <w:rFonts w:eastAsia="方正小标宋简体" w:hint="eastAsia"/>
          <w:sz w:val="44"/>
          <w:szCs w:val="44"/>
        </w:rPr>
        <w:t>工作指引</w:t>
      </w:r>
    </w:p>
    <w:p w:rsidR="00B301B5" w:rsidRDefault="007C5F6A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征求意见稿</w:t>
      </w:r>
      <w:r>
        <w:rPr>
          <w:rFonts w:eastAsia="仿宋_GB2312"/>
          <w:sz w:val="32"/>
          <w:szCs w:val="32"/>
        </w:rPr>
        <w:t>）</w:t>
      </w:r>
    </w:p>
    <w:p w:rsidR="00B301B5" w:rsidRDefault="007C5F6A">
      <w:pPr>
        <w:widowControl/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B301B5" w:rsidRDefault="007C5F6A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为优化营商环境，推进包容审慎监管，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开展非强制性监管手段运用方面的探索实践、建立相应配套制度，进一步优化行政执</w:t>
      </w:r>
      <w:r w:rsidR="00DE3E6C">
        <w:rPr>
          <w:rFonts w:eastAsia="仿宋_GB2312" w:hint="eastAsia"/>
          <w:sz w:val="32"/>
          <w:szCs w:val="32"/>
        </w:rPr>
        <w:t>法方式，提高执法效能，引导违法当事人主动纠正教育领域违法行为、自</w:t>
      </w:r>
      <w:r>
        <w:rPr>
          <w:rFonts w:eastAsia="仿宋_GB2312" w:hint="eastAsia"/>
          <w:sz w:val="32"/>
          <w:szCs w:val="32"/>
        </w:rPr>
        <w:t>觉守法，根据上级文件有关规定，结合我市教育行政执法工作实际，制定本工作指引。</w:t>
      </w:r>
    </w:p>
    <w:p w:rsidR="00B301B5" w:rsidRDefault="007C5F6A">
      <w:pPr>
        <w:widowControl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一、适用范围</w:t>
      </w:r>
    </w:p>
    <w:p w:rsidR="00B301B5" w:rsidRDefault="007C5F6A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对于</w:t>
      </w:r>
      <w:r>
        <w:rPr>
          <w:rFonts w:eastAsia="仿宋_GB2312"/>
          <w:sz w:val="32"/>
          <w:szCs w:val="32"/>
        </w:rPr>
        <w:t>当事人</w:t>
      </w:r>
      <w:r>
        <w:rPr>
          <w:rFonts w:eastAsia="仿宋_GB2312" w:hint="eastAsia"/>
          <w:sz w:val="32"/>
          <w:szCs w:val="32"/>
        </w:rPr>
        <w:t>教育领域的违法行为</w:t>
      </w:r>
      <w:r>
        <w:rPr>
          <w:rFonts w:eastAsia="仿宋_GB2312"/>
          <w:sz w:val="32"/>
          <w:szCs w:val="32"/>
        </w:rPr>
        <w:t>，经综合考虑</w:t>
      </w:r>
      <w:r>
        <w:rPr>
          <w:rFonts w:eastAsia="仿宋_GB2312" w:hint="eastAsia"/>
          <w:sz w:val="32"/>
          <w:szCs w:val="32"/>
        </w:rPr>
        <w:t>当事人的</w:t>
      </w:r>
      <w:r>
        <w:rPr>
          <w:rFonts w:eastAsia="仿宋_GB2312"/>
          <w:sz w:val="32"/>
          <w:szCs w:val="32"/>
        </w:rPr>
        <w:t>违法行为事实、性质、情节、违法过错程度以及危害程度，对本可予以行政处罚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违法行为给予适当期限的执法观察期，</w:t>
      </w:r>
      <w:r>
        <w:rPr>
          <w:rFonts w:eastAsia="仿宋_GB2312" w:hint="eastAsia"/>
          <w:sz w:val="32"/>
          <w:szCs w:val="32"/>
        </w:rPr>
        <w:t>如当事人</w:t>
      </w:r>
      <w:r>
        <w:rPr>
          <w:rFonts w:eastAsia="仿宋_GB2312"/>
          <w:sz w:val="32"/>
          <w:szCs w:val="32"/>
        </w:rPr>
        <w:t>在执法观察期内改正违法行为，完成整改并经核查已按要求整改到位的，</w:t>
      </w:r>
      <w:r>
        <w:rPr>
          <w:rFonts w:eastAsia="仿宋_GB2312" w:hint="eastAsia"/>
          <w:sz w:val="32"/>
          <w:szCs w:val="32"/>
        </w:rPr>
        <w:t>经集体审议通过后，依法</w:t>
      </w:r>
      <w:r>
        <w:rPr>
          <w:rFonts w:eastAsia="仿宋_GB2312"/>
          <w:sz w:val="32"/>
          <w:szCs w:val="32"/>
        </w:rPr>
        <w:t>可不予处罚。</w:t>
      </w:r>
    </w:p>
    <w:p w:rsidR="00B301B5" w:rsidRDefault="007C5F6A">
      <w:pPr>
        <w:widowControl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二、适用原则</w:t>
      </w:r>
    </w:p>
    <w:p w:rsidR="00B301B5" w:rsidRDefault="007C5F6A">
      <w:pPr>
        <w:widowControl/>
        <w:spacing w:line="560" w:lineRule="exact"/>
        <w:ind w:firstLineChars="200" w:firstLine="640"/>
        <w:rPr>
          <w:rFonts w:eastAsia="黑体"/>
          <w:kern w:val="0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执法观察期制度</w:t>
      </w:r>
      <w:r>
        <w:rPr>
          <w:rFonts w:eastAsia="仿宋_GB2312" w:hint="eastAsia"/>
          <w:sz w:val="32"/>
          <w:szCs w:val="32"/>
        </w:rPr>
        <w:t>按照宽严相济的思路，</w:t>
      </w:r>
      <w:r>
        <w:rPr>
          <w:rFonts w:eastAsia="仿宋_GB2312"/>
          <w:sz w:val="32"/>
          <w:szCs w:val="32"/>
        </w:rPr>
        <w:t>落实包容审慎监管精神，</w:t>
      </w:r>
      <w:r>
        <w:rPr>
          <w:rFonts w:eastAsia="仿宋_GB2312" w:hint="eastAsia"/>
          <w:sz w:val="32"/>
          <w:szCs w:val="32"/>
        </w:rPr>
        <w:t>鼓励和引导违法当事人及时改正违法行为，促进违法当事人履行主体责任，引导违法当事人自觉守法。</w:t>
      </w:r>
      <w:r>
        <w:rPr>
          <w:rFonts w:eastAsia="仿宋_GB2312"/>
          <w:sz w:val="32"/>
          <w:szCs w:val="32"/>
        </w:rPr>
        <w:t>以综合裁量</w:t>
      </w:r>
      <w:r>
        <w:rPr>
          <w:rFonts w:eastAsia="仿宋_GB2312" w:hint="eastAsia"/>
          <w:sz w:val="32"/>
          <w:szCs w:val="32"/>
        </w:rPr>
        <w:t>为原则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以法制审核</w:t>
      </w:r>
      <w:r>
        <w:rPr>
          <w:rFonts w:eastAsia="仿宋_GB2312"/>
          <w:sz w:val="32"/>
          <w:szCs w:val="32"/>
        </w:rPr>
        <w:t>、集体审议</w:t>
      </w:r>
      <w:r>
        <w:rPr>
          <w:rFonts w:eastAsia="仿宋_GB2312" w:hint="eastAsia"/>
          <w:sz w:val="32"/>
          <w:szCs w:val="32"/>
        </w:rPr>
        <w:t>为程序保障，</w:t>
      </w:r>
      <w:r>
        <w:rPr>
          <w:rFonts w:eastAsia="仿宋_GB2312"/>
          <w:sz w:val="32"/>
          <w:szCs w:val="32"/>
        </w:rPr>
        <w:t>确保行政</w:t>
      </w:r>
      <w:proofErr w:type="gramStart"/>
      <w:r>
        <w:rPr>
          <w:rFonts w:eastAsia="仿宋_GB2312"/>
          <w:sz w:val="32"/>
          <w:szCs w:val="32"/>
        </w:rPr>
        <w:t>处罚既</w:t>
      </w:r>
      <w:proofErr w:type="gramEnd"/>
      <w:r>
        <w:rPr>
          <w:rFonts w:eastAsia="仿宋_GB2312"/>
          <w:sz w:val="32"/>
          <w:szCs w:val="32"/>
        </w:rPr>
        <w:t>合法又合理，推动</w:t>
      </w:r>
      <w:r>
        <w:rPr>
          <w:rFonts w:eastAsia="仿宋_GB2312" w:hint="eastAsia"/>
          <w:sz w:val="32"/>
          <w:szCs w:val="32"/>
        </w:rPr>
        <w:t>教育</w:t>
      </w:r>
      <w:r>
        <w:rPr>
          <w:rFonts w:eastAsia="仿宋_GB2312"/>
          <w:sz w:val="32"/>
          <w:szCs w:val="32"/>
        </w:rPr>
        <w:t>执法既有力度又有温度。</w:t>
      </w:r>
    </w:p>
    <w:p w:rsidR="00B301B5" w:rsidRDefault="007C5F6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  <w:lang w:bidi="ar"/>
        </w:rPr>
        <w:t>三</w:t>
      </w:r>
      <w:r>
        <w:rPr>
          <w:rFonts w:eastAsia="黑体"/>
          <w:kern w:val="0"/>
          <w:sz w:val="32"/>
          <w:szCs w:val="32"/>
          <w:lang w:bidi="ar"/>
        </w:rPr>
        <w:t>、适用</w:t>
      </w:r>
      <w:r>
        <w:rPr>
          <w:rFonts w:eastAsia="黑体" w:hint="eastAsia"/>
          <w:kern w:val="0"/>
          <w:sz w:val="32"/>
          <w:szCs w:val="32"/>
          <w:lang w:bidi="ar"/>
        </w:rPr>
        <w:t>情形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符合以下条件的适用执法观察期制度：</w:t>
      </w:r>
    </w:p>
    <w:p w:rsidR="00B301B5" w:rsidRPr="00DE3E6C" w:rsidRDefault="00DE3E6C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E3E6C">
        <w:rPr>
          <w:rFonts w:eastAsia="仿宋_GB2312" w:hint="eastAsia"/>
          <w:sz w:val="32"/>
          <w:szCs w:val="32"/>
        </w:rPr>
        <w:t>未依法履行公示办学条件和教育质量有关材料、财务状况等信息披露义务，或者公示的材料不真实</w:t>
      </w:r>
      <w:r w:rsidRPr="00DE3E6C">
        <w:rPr>
          <w:rFonts w:eastAsia="仿宋_GB2312" w:hint="eastAsia"/>
          <w:sz w:val="32"/>
          <w:szCs w:val="32"/>
        </w:rPr>
        <w:t>，但</w:t>
      </w:r>
      <w:r w:rsidR="007C5F6A" w:rsidRPr="00DE3E6C">
        <w:rPr>
          <w:rFonts w:eastAsia="仿宋_GB2312" w:hint="eastAsia"/>
          <w:sz w:val="32"/>
          <w:szCs w:val="32"/>
        </w:rPr>
        <w:t>情节轻微并及时纠正</w:t>
      </w:r>
      <w:r w:rsidRPr="00DE3E6C">
        <w:rPr>
          <w:rFonts w:eastAsia="仿宋_GB2312" w:hint="eastAsia"/>
          <w:sz w:val="32"/>
          <w:szCs w:val="32"/>
        </w:rPr>
        <w:t>，</w:t>
      </w:r>
      <w:r w:rsidR="007C5F6A" w:rsidRPr="00DE3E6C">
        <w:rPr>
          <w:rFonts w:eastAsia="仿宋_GB2312" w:hint="eastAsia"/>
          <w:sz w:val="32"/>
          <w:szCs w:val="32"/>
        </w:rPr>
        <w:t>没有造成不良影响或产生危害后果的；</w:t>
      </w:r>
    </w:p>
    <w:p w:rsidR="00B301B5" w:rsidRPr="00DE3E6C" w:rsidRDefault="00DE3E6C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E3E6C">
        <w:rPr>
          <w:rFonts w:eastAsia="仿宋_GB2312" w:hint="eastAsia"/>
          <w:sz w:val="32"/>
          <w:szCs w:val="32"/>
        </w:rPr>
        <w:t>董事会、</w:t>
      </w:r>
      <w:r w:rsidRPr="00DE3E6C">
        <w:rPr>
          <w:rFonts w:eastAsia="仿宋_GB2312"/>
          <w:sz w:val="32"/>
          <w:szCs w:val="32"/>
        </w:rPr>
        <w:t>理事会或其他形式决策机构未依法履行职责，但</w:t>
      </w:r>
      <w:r w:rsidR="007C5F6A" w:rsidRPr="00DE3E6C">
        <w:rPr>
          <w:rFonts w:eastAsia="仿宋_GB2312" w:hint="eastAsia"/>
          <w:sz w:val="32"/>
          <w:szCs w:val="32"/>
        </w:rPr>
        <w:t>情节轻微并及时纠正，没有造成危害后果的；</w:t>
      </w:r>
    </w:p>
    <w:p w:rsidR="00B301B5" w:rsidRPr="00DE3E6C" w:rsidRDefault="007C5F6A" w:rsidP="00A26585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E3E6C">
        <w:rPr>
          <w:rFonts w:eastAsia="仿宋_GB2312" w:hint="eastAsia"/>
          <w:sz w:val="32"/>
          <w:szCs w:val="32"/>
        </w:rPr>
        <w:t>学校或者其他教育机构</w:t>
      </w:r>
      <w:r w:rsidR="00DE3E6C" w:rsidRPr="00DE3E6C">
        <w:rPr>
          <w:rFonts w:eastAsia="仿宋_GB2312" w:hint="eastAsia"/>
          <w:sz w:val="32"/>
          <w:szCs w:val="32"/>
        </w:rPr>
        <w:t>发布</w:t>
      </w:r>
      <w:r w:rsidR="00DE3E6C" w:rsidRPr="00DE3E6C">
        <w:rPr>
          <w:rFonts w:eastAsia="仿宋_GB2312"/>
          <w:sz w:val="32"/>
          <w:szCs w:val="32"/>
        </w:rPr>
        <w:t>虚假招生简章或广告，没有骗取到钱财，</w:t>
      </w:r>
      <w:r w:rsidR="00DE3E6C" w:rsidRPr="00DE3E6C">
        <w:rPr>
          <w:rFonts w:eastAsia="仿宋_GB2312" w:hint="eastAsia"/>
          <w:sz w:val="32"/>
          <w:szCs w:val="32"/>
        </w:rPr>
        <w:t>且情节轻微并及时纠正，没有造成不良影响或危害后果的。</w:t>
      </w:r>
    </w:p>
    <w:p w:rsidR="00B301B5" w:rsidRDefault="007C5F6A">
      <w:pPr>
        <w:widowControl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不适用</w:t>
      </w:r>
      <w:r>
        <w:rPr>
          <w:rFonts w:eastAsia="黑体"/>
          <w:sz w:val="32"/>
          <w:szCs w:val="32"/>
        </w:rPr>
        <w:t>情形</w:t>
      </w:r>
    </w:p>
    <w:p w:rsidR="00B301B5" w:rsidRDefault="007C5F6A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属于</w:t>
      </w:r>
      <w:r>
        <w:rPr>
          <w:rFonts w:eastAsia="仿宋_GB2312"/>
          <w:sz w:val="32"/>
          <w:szCs w:val="32"/>
        </w:rPr>
        <w:t>以下情形</w:t>
      </w:r>
      <w:r>
        <w:rPr>
          <w:rFonts w:eastAsia="仿宋_GB2312" w:hint="eastAsia"/>
          <w:sz w:val="32"/>
          <w:szCs w:val="32"/>
        </w:rPr>
        <w:t>之一</w:t>
      </w:r>
      <w:r>
        <w:rPr>
          <w:rFonts w:eastAsia="仿宋_GB2312"/>
          <w:sz w:val="32"/>
          <w:szCs w:val="32"/>
        </w:rPr>
        <w:t>的，不适用执法观察期制度：</w:t>
      </w:r>
    </w:p>
    <w:p w:rsidR="00B301B5" w:rsidRDefault="007C5F6A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违反教育相关法律法规禁止性规定的；</w:t>
      </w:r>
    </w:p>
    <w:p w:rsidR="00B301B5" w:rsidRDefault="007C5F6A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违法行为</w:t>
      </w:r>
      <w:r w:rsidR="00AE351A">
        <w:rPr>
          <w:rFonts w:eastAsia="仿宋_GB2312" w:hint="eastAsia"/>
          <w:sz w:val="32"/>
          <w:szCs w:val="32"/>
        </w:rPr>
        <w:t>属于</w:t>
      </w:r>
      <w:r>
        <w:rPr>
          <w:rFonts w:eastAsia="仿宋_GB2312" w:hint="eastAsia"/>
          <w:sz w:val="32"/>
          <w:szCs w:val="32"/>
        </w:rPr>
        <w:t>教育法律法规从重处罚情形的；</w:t>
      </w:r>
    </w:p>
    <w:p w:rsidR="00B301B5" w:rsidRDefault="007C5F6A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教育违法行为属于适用移送公安机关行政拘留的；</w:t>
      </w:r>
    </w:p>
    <w:p w:rsidR="00B301B5" w:rsidRDefault="007C5F6A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经教育主管部门责令改正，复查发现违法行为仍持续的；</w:t>
      </w:r>
    </w:p>
    <w:p w:rsidR="00B301B5" w:rsidRDefault="007C5F6A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同一时间检查发现存在两个或以上教育领域违法行为，其中一个教育领域违法行为存在</w:t>
      </w:r>
      <w:r w:rsidR="00AE351A">
        <w:rPr>
          <w:rFonts w:eastAsia="仿宋_GB2312" w:hint="eastAsia"/>
          <w:sz w:val="32"/>
          <w:szCs w:val="32"/>
        </w:rPr>
        <w:t>任意</w:t>
      </w:r>
      <w:r>
        <w:rPr>
          <w:rFonts w:eastAsia="仿宋_GB2312" w:hint="eastAsia"/>
          <w:sz w:val="32"/>
          <w:szCs w:val="32"/>
        </w:rPr>
        <w:t>上述情形的；</w:t>
      </w:r>
    </w:p>
    <w:p w:rsidR="00B301B5" w:rsidRDefault="007C5F6A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拒绝、阻挠监督检查，或者在接受监督检查时</w:t>
      </w:r>
      <w:r w:rsidR="00AE351A">
        <w:rPr>
          <w:rFonts w:eastAsia="仿宋_GB2312" w:hint="eastAsia"/>
          <w:sz w:val="32"/>
          <w:szCs w:val="32"/>
        </w:rPr>
        <w:t>弄虚</w:t>
      </w:r>
      <w:r>
        <w:rPr>
          <w:rFonts w:eastAsia="仿宋_GB2312" w:hint="eastAsia"/>
          <w:sz w:val="32"/>
          <w:szCs w:val="32"/>
        </w:rPr>
        <w:t>作假的；</w:t>
      </w:r>
    </w:p>
    <w:p w:rsidR="00B301B5" w:rsidRDefault="007C5F6A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近二年内因同类教育违法行为被处罚过或者</w:t>
      </w:r>
      <w:proofErr w:type="gramStart"/>
      <w:r>
        <w:rPr>
          <w:rFonts w:eastAsia="仿宋_GB2312" w:hint="eastAsia"/>
          <w:sz w:val="32"/>
          <w:szCs w:val="32"/>
        </w:rPr>
        <w:t>适用过</w:t>
      </w:r>
      <w:proofErr w:type="gramEnd"/>
      <w:r>
        <w:rPr>
          <w:rFonts w:eastAsia="仿宋_GB2312" w:hint="eastAsia"/>
          <w:sz w:val="32"/>
          <w:szCs w:val="32"/>
        </w:rPr>
        <w:t>执法观察期规定不予处罚的；</w:t>
      </w:r>
    </w:p>
    <w:p w:rsidR="00B301B5" w:rsidRDefault="007C5F6A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其他法律、法规、规章明确禁止给予执法观察期或者涉及危害公共安全、侵害人民群众生命健康的情形。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办理程序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（一）执法观察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期启动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阶段。教育主管部门立案后，认为当事人可适用执法观察期制度的，应当依行政处罚程序进行法制审核和集体审议。经法制审核及集体审议通过的，教育主管部门可运用说服教育、劝导示范、警示告诚、指导约谈等非强制性监管手段进行监管，并及时发出《东莞市教育局执法观察期责令改正违法行为通知书》，明确告知当事人对其给予执法观察期，同时明确违法行为的整改内容、要求、时限等，告知其达到执法观察期整改要求后可依法不予行政处罚，引导当事人主动纠正违法行为。已采取柔性执法方式的，教育主管部门应做好过程记录并附卷。针对违反教育法律法规行为一般给予两周以内观察期。针对手续管理类行为，可根据客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上手续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办理的必要时限给予六个月以内的观察期，具体时限由教育主管部门根据违法行为实际情况合理确定。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（二）复查阶段。当事人按照 《东莞市教育局执法观察期责令改正违法行为通知书》要求主动提交书面整改材料后，教育主管部门应当在收到材料之日起五个工作日内，组织现场调查人员核实其整改完成情况。当事人未在执法观察期内主动提交书面整改材料的，教育主管部门应当在执法观察期截止之日起五个工作日内，组织现场调查人员核实其整改完成情况。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对于符合本指引适用观察期制度的，复查时除对</w:t>
      </w:r>
      <w:r w:rsidR="00AE351A">
        <w:rPr>
          <w:rFonts w:ascii="仿宋_GB2312" w:eastAsia="仿宋_GB2312" w:hAnsi="仿宋_GB2312" w:cs="仿宋_GB2312" w:hint="eastAsia"/>
          <w:sz w:val="32"/>
          <w:szCs w:val="32"/>
        </w:rPr>
        <w:t>原已发现违法行为进行复查外，还应对当事人进行全面核查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，引导适用观察期</w:t>
      </w:r>
      <w:r w:rsidR="00AE351A">
        <w:rPr>
          <w:rFonts w:ascii="仿宋_GB2312" w:eastAsia="仿宋_GB2312" w:hAnsi="仿宋_GB2312" w:cs="仿宋_GB2312" w:hint="eastAsia"/>
          <w:sz w:val="32"/>
          <w:szCs w:val="32"/>
        </w:rPr>
        <w:t>当事人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主动开展全面排查，合法合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="00AE351A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AE351A">
        <w:rPr>
          <w:rFonts w:ascii="仿宋_GB2312" w:eastAsia="仿宋_GB2312" w:hAnsi="仿宋_GB2312" w:cs="仿宋_GB2312"/>
          <w:sz w:val="32"/>
          <w:szCs w:val="32"/>
        </w:rPr>
        <w:t>教育教学</w:t>
      </w:r>
      <w:r w:rsidR="00AE351A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处罚实施阶段。教育主管部门应当梳理前期收集固定的违法行为证据材料、柔性执法材料、当事人整改材料、整改核实材料等，根据当事人在执法观察期内的配合柔性执法的情况，以及违法行为的整改情况、复查情况，对当事人是否符合执法观察期不予处罚情形、是否给予当事人行政处罚或者给予何种程度的行政处罚提出意见。对未通过整改核实检查的当事人，应依法提出处罚建议。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对当事人适用执法观察期的案件，在决定是否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政处罚之前，教育主管部门应当依程序进行法制审核和集体审议。当事人拒不配合教育主管部门的柔性执法，或者在观察期内未能完成整改，或者未能减少或消除违法行为的危害后果，教育主管部门应当依法依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行政处罚决定。当事人在观察期内出现新的教育领域违法行为的，教育主管部门应当对原违法行为和观察期内新的违法行为分别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处罚决定。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黑体" w:hAnsi="仿宋_GB2312" w:cs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工作要求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教育主管部门应当加强实施执法观察期制度的工作管理，强化内部审核机制，不得随意或选择性运用非强制性监管手段。对于符合运用非强制性监管手段的情形，应当在行政执法中切实运用相应非强制性监管手段；对于依法应当实施行政处罚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行政强制或者不符合运用非强制性监管手段的其他情形，不得擅自运用非强制性监管手段以教代罚。</w:t>
      </w:r>
    </w:p>
    <w:p w:rsidR="00B301B5" w:rsidRDefault="007C5F6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（二）本工作指引规定的法制审核及集体审议要求，按照相关规定执行。</w:t>
      </w:r>
    </w:p>
    <w:p w:rsidR="00B301B5" w:rsidRDefault="00B301B5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:rsidR="00B301B5" w:rsidRDefault="00B301B5">
      <w:pPr>
        <w:spacing w:line="560" w:lineRule="exact"/>
        <w:ind w:firstLineChars="200" w:firstLine="420"/>
      </w:pPr>
    </w:p>
    <w:sectPr w:rsidR="00B301B5">
      <w:footerReference w:type="default" r:id="rId8"/>
      <w:pgSz w:w="11906" w:h="16838"/>
      <w:pgMar w:top="2098" w:right="1247" w:bottom="1758" w:left="1588" w:header="1134" w:footer="150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58" w:rsidRDefault="00892758">
      <w:r>
        <w:separator/>
      </w:r>
    </w:p>
  </w:endnote>
  <w:endnote w:type="continuationSeparator" w:id="0">
    <w:p w:rsidR="00892758" w:rsidRDefault="0089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507458"/>
      <w:docPartObj>
        <w:docPartGallery w:val="Page Numbers (Bottom of Page)"/>
        <w:docPartUnique/>
      </w:docPartObj>
    </w:sdtPr>
    <w:sdtEndPr/>
    <w:sdtContent>
      <w:p w:rsidR="00A8516F" w:rsidRDefault="00A851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DEC" w:rsidRPr="00E72DEC">
          <w:rPr>
            <w:noProof/>
            <w:lang w:val="zh-CN"/>
          </w:rPr>
          <w:t>5</w:t>
        </w:r>
        <w:r>
          <w:fldChar w:fldCharType="end"/>
        </w:r>
      </w:p>
    </w:sdtContent>
  </w:sdt>
  <w:p w:rsidR="00B301B5" w:rsidRDefault="00B301B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58" w:rsidRDefault="00892758">
      <w:r>
        <w:separator/>
      </w:r>
    </w:p>
  </w:footnote>
  <w:footnote w:type="continuationSeparator" w:id="0">
    <w:p w:rsidR="00892758" w:rsidRDefault="0089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FBBFA5"/>
    <w:multiLevelType w:val="singleLevel"/>
    <w:tmpl w:val="F7FBBF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FE94A5"/>
    <w:multiLevelType w:val="singleLevel"/>
    <w:tmpl w:val="F7FE94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FEE702BA"/>
    <w:rsid w:val="FF1E2629"/>
    <w:rsid w:val="00535F0D"/>
    <w:rsid w:val="007C5F6A"/>
    <w:rsid w:val="00892758"/>
    <w:rsid w:val="00A8516F"/>
    <w:rsid w:val="00AE351A"/>
    <w:rsid w:val="00B301B5"/>
    <w:rsid w:val="00DE3E6C"/>
    <w:rsid w:val="00E72DEC"/>
    <w:rsid w:val="37AD86D3"/>
    <w:rsid w:val="37B5CC6D"/>
    <w:rsid w:val="3AFB555C"/>
    <w:rsid w:val="4A1947CF"/>
    <w:rsid w:val="4FB35FE4"/>
    <w:rsid w:val="50F99DE1"/>
    <w:rsid w:val="5F75F565"/>
    <w:rsid w:val="5FE7631C"/>
    <w:rsid w:val="773DF9FA"/>
    <w:rsid w:val="77BF0797"/>
    <w:rsid w:val="77FD15C1"/>
    <w:rsid w:val="7AFFBE8C"/>
    <w:rsid w:val="7D57DF63"/>
    <w:rsid w:val="7DB72472"/>
    <w:rsid w:val="7FFBAFFA"/>
    <w:rsid w:val="7FFBC6D5"/>
    <w:rsid w:val="9DDEB35B"/>
    <w:rsid w:val="9EF7AFFF"/>
    <w:rsid w:val="9F7ED4FA"/>
    <w:rsid w:val="BCF99189"/>
    <w:rsid w:val="CEDB4258"/>
    <w:rsid w:val="DF7D90CB"/>
    <w:rsid w:val="E6F155BF"/>
    <w:rsid w:val="ED771CB1"/>
    <w:rsid w:val="EF77306E"/>
    <w:rsid w:val="EF7FFA74"/>
    <w:rsid w:val="EFFDA671"/>
    <w:rsid w:val="F77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4567B4-808D-43AC-AA57-A8D42287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</w:style>
  <w:style w:type="paragraph" w:styleId="a3">
    <w:name w:val="Body Text"/>
    <w:basedOn w:val="a"/>
    <w:uiPriority w:val="1"/>
    <w:qFormat/>
    <w:rPr>
      <w:rFonts w:ascii="宋体" w:hAnsi="宋体" w:cs="宋体"/>
      <w:sz w:val="24"/>
      <w:lang w:val="zh-CN" w:bidi="zh-CN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A8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8516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851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黄翔</cp:lastModifiedBy>
  <cp:revision>6</cp:revision>
  <dcterms:created xsi:type="dcterms:W3CDTF">2018-07-16T07:11:00Z</dcterms:created>
  <dcterms:modified xsi:type="dcterms:W3CDTF">2023-06-26T07:25:00Z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