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32"/>
          <w:szCs w:val="32"/>
        </w:rPr>
      </w:pPr>
      <w:r>
        <w:rPr>
          <w:rFonts w:eastAsia="黑体"/>
          <w:sz w:val="32"/>
          <w:szCs w:val="32"/>
        </w:rPr>
        <w:t>附件1</w:t>
      </w:r>
    </w:p>
    <w:p>
      <w:pPr>
        <w:widowControl/>
        <w:spacing w:line="560" w:lineRule="exact"/>
        <w:jc w:val="center"/>
        <w:rPr>
          <w:rFonts w:eastAsia="方正小标宋简体"/>
          <w:kern w:val="0"/>
          <w:sz w:val="44"/>
          <w:szCs w:val="44"/>
        </w:rPr>
      </w:pPr>
      <w:r>
        <w:rPr>
          <w:rFonts w:eastAsia="方正小标宋简体"/>
          <w:kern w:val="0"/>
          <w:sz w:val="44"/>
          <w:szCs w:val="44"/>
        </w:rPr>
        <w:t>进城务工人员随迁子女在广东省参加高考报名资格审核工作指引</w:t>
      </w:r>
    </w:p>
    <w:p>
      <w:pPr>
        <w:spacing w:line="560" w:lineRule="exact"/>
        <w:jc w:val="center"/>
        <w:rPr>
          <w:rFonts w:eastAsia="黑体"/>
          <w:sz w:val="32"/>
          <w:szCs w:val="32"/>
        </w:rPr>
      </w:pPr>
      <w:r>
        <w:rPr>
          <w:rFonts w:eastAsia="黑体"/>
          <w:sz w:val="32"/>
          <w:szCs w:val="32"/>
        </w:rPr>
        <w:t xml:space="preserve"> </w:t>
      </w:r>
    </w:p>
    <w:tbl>
      <w:tblPr>
        <w:tblStyle w:val="4"/>
        <w:tblW w:w="15190" w:type="dxa"/>
        <w:jc w:val="center"/>
        <w:tblLayout w:type="fixed"/>
        <w:tblCellMar>
          <w:top w:w="0" w:type="dxa"/>
          <w:left w:w="108" w:type="dxa"/>
          <w:bottom w:w="0" w:type="dxa"/>
          <w:right w:w="108" w:type="dxa"/>
        </w:tblCellMar>
      </w:tblPr>
      <w:tblGrid>
        <w:gridCol w:w="800"/>
        <w:gridCol w:w="400"/>
        <w:gridCol w:w="5530"/>
        <w:gridCol w:w="8460"/>
      </w:tblGrid>
      <w:tr>
        <w:tblPrEx>
          <w:tblCellMar>
            <w:top w:w="0" w:type="dxa"/>
            <w:left w:w="108" w:type="dxa"/>
            <w:bottom w:w="0" w:type="dxa"/>
            <w:right w:w="108" w:type="dxa"/>
          </w:tblCellMar>
        </w:tblPrEx>
        <w:trPr>
          <w:trHeight w:val="645"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Cs/>
                <w:kern w:val="0"/>
                <w:sz w:val="24"/>
              </w:rPr>
            </w:pPr>
            <w:r>
              <w:rPr>
                <w:bCs/>
                <w:kern w:val="0"/>
                <w:sz w:val="24"/>
              </w:rPr>
              <w:t>认定类别</w:t>
            </w:r>
          </w:p>
        </w:tc>
        <w:tc>
          <w:tcPr>
            <w:tcW w:w="5930" w:type="dxa"/>
            <w:gridSpan w:val="2"/>
            <w:tcBorders>
              <w:top w:val="single" w:color="auto" w:sz="4" w:space="0"/>
              <w:left w:val="nil"/>
              <w:bottom w:val="single" w:color="auto" w:sz="4" w:space="0"/>
              <w:right w:val="single" w:color="auto" w:sz="4" w:space="0"/>
            </w:tcBorders>
            <w:noWrap w:val="0"/>
            <w:vAlign w:val="center"/>
          </w:tcPr>
          <w:p>
            <w:pPr>
              <w:widowControl/>
              <w:jc w:val="center"/>
              <w:rPr>
                <w:bCs/>
                <w:kern w:val="0"/>
                <w:sz w:val="24"/>
              </w:rPr>
            </w:pPr>
            <w:r>
              <w:rPr>
                <w:bCs/>
                <w:kern w:val="0"/>
                <w:sz w:val="24"/>
              </w:rPr>
              <w:t>具体情况列举</w:t>
            </w:r>
          </w:p>
        </w:tc>
        <w:tc>
          <w:tcPr>
            <w:tcW w:w="8460" w:type="dxa"/>
            <w:tcBorders>
              <w:top w:val="single" w:color="auto" w:sz="4" w:space="0"/>
              <w:left w:val="nil"/>
              <w:bottom w:val="single" w:color="auto" w:sz="4" w:space="0"/>
              <w:right w:val="single" w:color="auto" w:sz="4" w:space="0"/>
            </w:tcBorders>
            <w:noWrap w:val="0"/>
            <w:vAlign w:val="center"/>
          </w:tcPr>
          <w:p>
            <w:pPr>
              <w:widowControl/>
              <w:jc w:val="center"/>
              <w:rPr>
                <w:bCs/>
                <w:kern w:val="0"/>
                <w:sz w:val="24"/>
              </w:rPr>
            </w:pPr>
            <w:r>
              <w:rPr>
                <w:bCs/>
                <w:kern w:val="0"/>
                <w:sz w:val="24"/>
              </w:rPr>
              <w:t>处理指引</w:t>
            </w:r>
          </w:p>
        </w:tc>
      </w:tr>
      <w:tr>
        <w:tblPrEx>
          <w:tblCellMar>
            <w:top w:w="0" w:type="dxa"/>
            <w:left w:w="108" w:type="dxa"/>
            <w:bottom w:w="0" w:type="dxa"/>
            <w:right w:w="108" w:type="dxa"/>
          </w:tblCellMar>
        </w:tblPrEx>
        <w:trPr>
          <w:trHeight w:val="1275" w:hRule="atLeast"/>
          <w:jc w:val="center"/>
        </w:trPr>
        <w:tc>
          <w:tcPr>
            <w:tcW w:w="800" w:type="dxa"/>
            <w:vMerge w:val="restart"/>
            <w:tcBorders>
              <w:top w:val="nil"/>
              <w:left w:val="single" w:color="auto" w:sz="4" w:space="0"/>
              <w:bottom w:val="single" w:color="auto" w:sz="4" w:space="0"/>
              <w:right w:val="single" w:color="auto" w:sz="4" w:space="0"/>
            </w:tcBorders>
            <w:noWrap w:val="0"/>
            <w:vAlign w:val="center"/>
          </w:tcPr>
          <w:p>
            <w:pPr>
              <w:widowControl/>
              <w:jc w:val="center"/>
              <w:rPr>
                <w:b/>
                <w:bCs/>
                <w:kern w:val="0"/>
                <w:sz w:val="24"/>
              </w:rPr>
            </w:pPr>
            <w:r>
              <w:rPr>
                <w:b/>
                <w:bCs/>
                <w:kern w:val="0"/>
                <w:sz w:val="24"/>
              </w:rPr>
              <w:t>居住证有效期认定</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b/>
                <w:bCs/>
                <w:kern w:val="0"/>
                <w:sz w:val="24"/>
              </w:rPr>
            </w:pPr>
            <w:r>
              <w:rPr>
                <w:b/>
                <w:bCs/>
                <w:kern w:val="0"/>
                <w:sz w:val="24"/>
              </w:rPr>
              <w:t>1</w:t>
            </w:r>
          </w:p>
        </w:tc>
        <w:tc>
          <w:tcPr>
            <w:tcW w:w="5530" w:type="dxa"/>
            <w:tcBorders>
              <w:top w:val="single" w:color="auto" w:sz="4" w:space="0"/>
              <w:left w:val="nil"/>
              <w:bottom w:val="single" w:color="auto" w:sz="4" w:space="0"/>
              <w:right w:val="single" w:color="auto" w:sz="4" w:space="0"/>
            </w:tcBorders>
            <w:noWrap w:val="0"/>
            <w:vAlign w:val="center"/>
          </w:tcPr>
          <w:p>
            <w:pPr>
              <w:rPr>
                <w:kern w:val="0"/>
                <w:sz w:val="24"/>
              </w:rPr>
            </w:pPr>
            <w:r>
              <w:rPr>
                <w:kern w:val="0"/>
                <w:sz w:val="24"/>
              </w:rPr>
              <w:t>考生父亲或母亲在随迁子女高一入学前（9月1日前，时间不限）已办理居住证，且在高考录取结束时（8月31日）持有有效居住证的</w:t>
            </w:r>
          </w:p>
        </w:tc>
        <w:tc>
          <w:tcPr>
            <w:tcW w:w="8460" w:type="dxa"/>
            <w:tcBorders>
              <w:top w:val="single" w:color="auto" w:sz="4" w:space="0"/>
              <w:left w:val="nil"/>
              <w:bottom w:val="single" w:color="auto" w:sz="4" w:space="0"/>
              <w:right w:val="single" w:color="auto" w:sz="4" w:space="0"/>
            </w:tcBorders>
            <w:noWrap w:val="0"/>
            <w:vAlign w:val="center"/>
          </w:tcPr>
          <w:p>
            <w:pPr>
              <w:widowControl/>
              <w:rPr>
                <w:kern w:val="0"/>
                <w:sz w:val="24"/>
              </w:rPr>
            </w:pPr>
            <w:r>
              <w:rPr>
                <w:kern w:val="0"/>
                <w:sz w:val="24"/>
              </w:rPr>
              <w:t>予以认定。</w:t>
            </w:r>
          </w:p>
        </w:tc>
      </w:tr>
      <w:tr>
        <w:tblPrEx>
          <w:tblCellMar>
            <w:top w:w="0" w:type="dxa"/>
            <w:left w:w="108" w:type="dxa"/>
            <w:bottom w:w="0" w:type="dxa"/>
            <w:right w:w="108" w:type="dxa"/>
          </w:tblCellMar>
        </w:tblPrEx>
        <w:trPr>
          <w:trHeight w:val="567" w:hRule="exact"/>
          <w:jc w:val="center"/>
        </w:trPr>
        <w:tc>
          <w:tcPr>
            <w:tcW w:w="800" w:type="dxa"/>
            <w:vMerge w:val="continue"/>
            <w:tcBorders>
              <w:top w:val="nil"/>
              <w:left w:val="single" w:color="auto" w:sz="4" w:space="0"/>
              <w:bottom w:val="single" w:color="auto" w:sz="4" w:space="0"/>
              <w:right w:val="single" w:color="auto" w:sz="4" w:space="0"/>
            </w:tcBorders>
            <w:noWrap w:val="0"/>
            <w:vAlign w:val="center"/>
          </w:tcPr>
          <w:p>
            <w:pPr>
              <w:widowControl/>
              <w:jc w:val="left"/>
              <w:rPr>
                <w:b/>
                <w:bCs/>
                <w:kern w:val="0"/>
                <w:sz w:val="24"/>
              </w:rPr>
            </w:pP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b/>
                <w:bCs/>
                <w:kern w:val="0"/>
                <w:sz w:val="24"/>
              </w:rPr>
            </w:pPr>
            <w:r>
              <w:rPr>
                <w:b/>
                <w:bCs/>
                <w:kern w:val="0"/>
                <w:sz w:val="24"/>
              </w:rPr>
              <w:t>2</w:t>
            </w:r>
          </w:p>
        </w:tc>
        <w:tc>
          <w:tcPr>
            <w:tcW w:w="5530" w:type="dxa"/>
            <w:tcBorders>
              <w:top w:val="single" w:color="auto" w:sz="4" w:space="0"/>
              <w:left w:val="nil"/>
              <w:bottom w:val="single" w:color="auto" w:sz="4" w:space="0"/>
              <w:right w:val="single" w:color="auto" w:sz="4" w:space="0"/>
            </w:tcBorders>
            <w:noWrap w:val="0"/>
            <w:vAlign w:val="center"/>
          </w:tcPr>
          <w:p>
            <w:pPr>
              <w:widowControl/>
              <w:rPr>
                <w:kern w:val="0"/>
                <w:sz w:val="24"/>
              </w:rPr>
            </w:pPr>
            <w:r>
              <w:rPr>
                <w:kern w:val="0"/>
                <w:sz w:val="24"/>
              </w:rPr>
              <w:t>考生父母在当地居住，但未办理居住证</w:t>
            </w:r>
          </w:p>
        </w:tc>
        <w:tc>
          <w:tcPr>
            <w:tcW w:w="8460" w:type="dxa"/>
            <w:tcBorders>
              <w:top w:val="single" w:color="auto" w:sz="4" w:space="0"/>
              <w:left w:val="nil"/>
              <w:bottom w:val="single" w:color="auto" w:sz="4" w:space="0"/>
              <w:right w:val="single" w:color="auto" w:sz="4" w:space="0"/>
            </w:tcBorders>
            <w:noWrap w:val="0"/>
            <w:vAlign w:val="center"/>
          </w:tcPr>
          <w:p>
            <w:pPr>
              <w:widowControl/>
              <w:rPr>
                <w:kern w:val="0"/>
                <w:sz w:val="24"/>
              </w:rPr>
            </w:pPr>
            <w:r>
              <w:rPr>
                <w:kern w:val="0"/>
                <w:sz w:val="24"/>
              </w:rPr>
              <w:t>不予认定。</w:t>
            </w:r>
          </w:p>
        </w:tc>
      </w:tr>
      <w:tr>
        <w:tblPrEx>
          <w:tblCellMar>
            <w:top w:w="0" w:type="dxa"/>
            <w:left w:w="108" w:type="dxa"/>
            <w:bottom w:w="0" w:type="dxa"/>
            <w:right w:w="108" w:type="dxa"/>
          </w:tblCellMar>
        </w:tblPrEx>
        <w:trPr>
          <w:trHeight w:val="567" w:hRule="exact"/>
          <w:jc w:val="center"/>
        </w:trPr>
        <w:tc>
          <w:tcPr>
            <w:tcW w:w="800" w:type="dxa"/>
            <w:vMerge w:val="continue"/>
            <w:tcBorders>
              <w:top w:val="nil"/>
              <w:left w:val="single" w:color="auto" w:sz="4" w:space="0"/>
              <w:bottom w:val="single" w:color="auto" w:sz="4" w:space="0"/>
              <w:right w:val="single" w:color="auto" w:sz="4" w:space="0"/>
            </w:tcBorders>
            <w:noWrap w:val="0"/>
            <w:vAlign w:val="center"/>
          </w:tcPr>
          <w:p>
            <w:pPr>
              <w:widowControl/>
              <w:jc w:val="left"/>
              <w:rPr>
                <w:b/>
                <w:bCs/>
                <w:kern w:val="0"/>
                <w:sz w:val="24"/>
              </w:rPr>
            </w:pPr>
          </w:p>
        </w:tc>
        <w:tc>
          <w:tcPr>
            <w:tcW w:w="400" w:type="dxa"/>
            <w:tcBorders>
              <w:top w:val="single" w:color="auto" w:sz="4" w:space="0"/>
              <w:left w:val="nil"/>
              <w:right w:val="single" w:color="auto" w:sz="4" w:space="0"/>
            </w:tcBorders>
            <w:noWrap w:val="0"/>
            <w:vAlign w:val="center"/>
          </w:tcPr>
          <w:p>
            <w:pPr>
              <w:widowControl/>
              <w:jc w:val="center"/>
              <w:rPr>
                <w:b/>
                <w:bCs/>
                <w:kern w:val="0"/>
                <w:sz w:val="24"/>
              </w:rPr>
            </w:pPr>
            <w:r>
              <w:rPr>
                <w:b/>
                <w:bCs/>
                <w:kern w:val="0"/>
                <w:sz w:val="24"/>
              </w:rPr>
              <w:t>3</w:t>
            </w:r>
          </w:p>
        </w:tc>
        <w:tc>
          <w:tcPr>
            <w:tcW w:w="5530" w:type="dxa"/>
            <w:tcBorders>
              <w:top w:val="single" w:color="auto" w:sz="4" w:space="0"/>
              <w:left w:val="nil"/>
              <w:right w:val="single" w:color="auto" w:sz="4" w:space="0"/>
            </w:tcBorders>
            <w:noWrap w:val="0"/>
            <w:vAlign w:val="center"/>
          </w:tcPr>
          <w:p>
            <w:pPr>
              <w:widowControl/>
              <w:rPr>
                <w:kern w:val="0"/>
                <w:sz w:val="24"/>
              </w:rPr>
            </w:pPr>
            <w:r>
              <w:rPr>
                <w:kern w:val="0"/>
                <w:sz w:val="24"/>
              </w:rPr>
              <w:t>考生父母在广东省购房，但未办理居住证</w:t>
            </w:r>
          </w:p>
        </w:tc>
        <w:tc>
          <w:tcPr>
            <w:tcW w:w="8460" w:type="dxa"/>
            <w:tcBorders>
              <w:top w:val="nil"/>
              <w:left w:val="nil"/>
              <w:bottom w:val="single" w:color="auto" w:sz="4" w:space="0"/>
              <w:right w:val="single" w:color="auto" w:sz="4" w:space="0"/>
            </w:tcBorders>
            <w:noWrap w:val="0"/>
            <w:vAlign w:val="center"/>
          </w:tcPr>
          <w:p>
            <w:pPr>
              <w:widowControl/>
              <w:rPr>
                <w:kern w:val="0"/>
                <w:sz w:val="24"/>
              </w:rPr>
            </w:pPr>
            <w:r>
              <w:rPr>
                <w:kern w:val="0"/>
                <w:sz w:val="24"/>
              </w:rPr>
              <w:t>不予认定。</w:t>
            </w:r>
          </w:p>
        </w:tc>
      </w:tr>
      <w:tr>
        <w:tblPrEx>
          <w:tblCellMar>
            <w:top w:w="0" w:type="dxa"/>
            <w:left w:w="108" w:type="dxa"/>
            <w:bottom w:w="0" w:type="dxa"/>
            <w:right w:w="108" w:type="dxa"/>
          </w:tblCellMar>
        </w:tblPrEx>
        <w:trPr>
          <w:trHeight w:val="1077" w:hRule="exact"/>
          <w:jc w:val="center"/>
        </w:trPr>
        <w:tc>
          <w:tcPr>
            <w:tcW w:w="800" w:type="dxa"/>
            <w:vMerge w:val="restart"/>
            <w:tcBorders>
              <w:top w:val="nil"/>
              <w:left w:val="single" w:color="auto" w:sz="4" w:space="0"/>
              <w:bottom w:val="single" w:color="auto" w:sz="4" w:space="0"/>
              <w:right w:val="single" w:color="auto" w:sz="4" w:space="0"/>
            </w:tcBorders>
            <w:noWrap w:val="0"/>
            <w:vAlign w:val="center"/>
          </w:tcPr>
          <w:p>
            <w:pPr>
              <w:widowControl/>
              <w:jc w:val="center"/>
              <w:rPr>
                <w:b/>
                <w:bCs/>
                <w:kern w:val="0"/>
                <w:sz w:val="24"/>
              </w:rPr>
            </w:pPr>
            <w:r>
              <w:rPr>
                <w:b/>
                <w:bCs/>
                <w:kern w:val="0"/>
                <w:sz w:val="24"/>
              </w:rPr>
              <w:t>社会保险缴费年限认定</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b/>
                <w:bCs/>
                <w:kern w:val="0"/>
                <w:sz w:val="24"/>
              </w:rPr>
            </w:pPr>
            <w:r>
              <w:rPr>
                <w:b/>
                <w:bCs/>
                <w:kern w:val="0"/>
                <w:sz w:val="24"/>
              </w:rPr>
              <w:t>1</w:t>
            </w:r>
          </w:p>
        </w:tc>
        <w:tc>
          <w:tcPr>
            <w:tcW w:w="5530" w:type="dxa"/>
            <w:tcBorders>
              <w:top w:val="single" w:color="auto" w:sz="4" w:space="0"/>
              <w:left w:val="nil"/>
              <w:bottom w:val="single" w:color="auto" w:sz="4" w:space="0"/>
              <w:right w:val="single" w:color="auto" w:sz="4" w:space="0"/>
            </w:tcBorders>
            <w:noWrap w:val="0"/>
            <w:vAlign w:val="center"/>
          </w:tcPr>
          <w:p>
            <w:pPr>
              <w:widowControl/>
              <w:rPr>
                <w:kern w:val="0"/>
                <w:sz w:val="24"/>
              </w:rPr>
            </w:pPr>
            <w:r>
              <w:rPr>
                <w:kern w:val="0"/>
                <w:sz w:val="24"/>
              </w:rPr>
              <w:t>考生父亲或母亲在我省参加社会基本养老保险及基本医疗保险，截止至高考录取结束时（8月31日）缴费年限累计达到3年以上（含3年）的</w:t>
            </w:r>
          </w:p>
        </w:tc>
        <w:tc>
          <w:tcPr>
            <w:tcW w:w="8460" w:type="dxa"/>
            <w:tcBorders>
              <w:top w:val="single" w:color="auto" w:sz="4" w:space="0"/>
              <w:left w:val="nil"/>
              <w:bottom w:val="single" w:color="auto" w:sz="4" w:space="0"/>
              <w:right w:val="single" w:color="auto" w:sz="4" w:space="0"/>
            </w:tcBorders>
            <w:noWrap w:val="0"/>
            <w:vAlign w:val="center"/>
          </w:tcPr>
          <w:p>
            <w:pPr>
              <w:widowControl/>
              <w:rPr>
                <w:kern w:val="0"/>
                <w:sz w:val="24"/>
              </w:rPr>
            </w:pPr>
            <w:r>
              <w:rPr>
                <w:kern w:val="0"/>
                <w:sz w:val="24"/>
              </w:rPr>
              <w:t>予以认定。</w:t>
            </w:r>
          </w:p>
        </w:tc>
      </w:tr>
      <w:tr>
        <w:tblPrEx>
          <w:tblCellMar>
            <w:top w:w="0" w:type="dxa"/>
            <w:left w:w="108" w:type="dxa"/>
            <w:bottom w:w="0" w:type="dxa"/>
            <w:right w:w="108" w:type="dxa"/>
          </w:tblCellMar>
        </w:tblPrEx>
        <w:trPr>
          <w:trHeight w:val="964" w:hRule="exact"/>
          <w:jc w:val="center"/>
        </w:trPr>
        <w:tc>
          <w:tcPr>
            <w:tcW w:w="800" w:type="dxa"/>
            <w:vMerge w:val="continue"/>
            <w:tcBorders>
              <w:top w:val="nil"/>
              <w:left w:val="single" w:color="auto" w:sz="4" w:space="0"/>
              <w:bottom w:val="single" w:color="auto" w:sz="4" w:space="0"/>
              <w:right w:val="single" w:color="auto" w:sz="4" w:space="0"/>
            </w:tcBorders>
            <w:noWrap w:val="0"/>
            <w:vAlign w:val="center"/>
          </w:tcPr>
          <w:p>
            <w:pPr>
              <w:widowControl/>
              <w:jc w:val="left"/>
              <w:rPr>
                <w:b/>
                <w:bCs/>
                <w:kern w:val="0"/>
                <w:sz w:val="24"/>
              </w:rPr>
            </w:pP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b/>
                <w:bCs/>
                <w:kern w:val="0"/>
                <w:sz w:val="24"/>
              </w:rPr>
            </w:pPr>
            <w:r>
              <w:rPr>
                <w:b/>
                <w:bCs/>
                <w:kern w:val="0"/>
                <w:sz w:val="24"/>
              </w:rPr>
              <w:t>2</w:t>
            </w:r>
          </w:p>
        </w:tc>
        <w:tc>
          <w:tcPr>
            <w:tcW w:w="5530" w:type="dxa"/>
            <w:tcBorders>
              <w:top w:val="single" w:color="auto" w:sz="4" w:space="0"/>
              <w:left w:val="nil"/>
              <w:bottom w:val="single" w:color="auto" w:sz="4" w:space="0"/>
              <w:right w:val="single" w:color="auto" w:sz="4" w:space="0"/>
            </w:tcBorders>
            <w:noWrap w:val="0"/>
            <w:vAlign w:val="center"/>
          </w:tcPr>
          <w:p>
            <w:pPr>
              <w:widowControl/>
              <w:rPr>
                <w:kern w:val="0"/>
                <w:sz w:val="24"/>
              </w:rPr>
            </w:pPr>
            <w:r>
              <w:rPr>
                <w:kern w:val="0"/>
                <w:sz w:val="24"/>
              </w:rPr>
              <w:t>考生父母仅参加了社会基本养老保险及基本医疗保险中的一种</w:t>
            </w:r>
          </w:p>
        </w:tc>
        <w:tc>
          <w:tcPr>
            <w:tcW w:w="8460" w:type="dxa"/>
            <w:tcBorders>
              <w:top w:val="single" w:color="auto" w:sz="4" w:space="0"/>
              <w:left w:val="nil"/>
              <w:bottom w:val="single" w:color="auto" w:sz="4" w:space="0"/>
              <w:right w:val="single" w:color="auto" w:sz="4" w:space="0"/>
            </w:tcBorders>
            <w:noWrap w:val="0"/>
            <w:vAlign w:val="center"/>
          </w:tcPr>
          <w:p>
            <w:pPr>
              <w:widowControl/>
              <w:rPr>
                <w:kern w:val="0"/>
                <w:sz w:val="24"/>
              </w:rPr>
            </w:pPr>
            <w:r>
              <w:rPr>
                <w:kern w:val="0"/>
                <w:sz w:val="24"/>
              </w:rPr>
              <w:t>不予认定。</w:t>
            </w:r>
          </w:p>
        </w:tc>
      </w:tr>
      <w:tr>
        <w:tblPrEx>
          <w:tblCellMar>
            <w:top w:w="0" w:type="dxa"/>
            <w:left w:w="108" w:type="dxa"/>
            <w:bottom w:w="0" w:type="dxa"/>
            <w:right w:w="108" w:type="dxa"/>
          </w:tblCellMar>
        </w:tblPrEx>
        <w:trPr>
          <w:trHeight w:val="1397" w:hRule="atLeast"/>
          <w:jc w:val="center"/>
        </w:trPr>
        <w:tc>
          <w:tcPr>
            <w:tcW w:w="800" w:type="dxa"/>
            <w:vMerge w:val="continue"/>
            <w:tcBorders>
              <w:top w:val="nil"/>
              <w:left w:val="single" w:color="auto" w:sz="4" w:space="0"/>
              <w:bottom w:val="single" w:color="auto" w:sz="4" w:space="0"/>
              <w:right w:val="single" w:color="auto" w:sz="4" w:space="0"/>
            </w:tcBorders>
            <w:noWrap w:val="0"/>
            <w:vAlign w:val="center"/>
          </w:tcPr>
          <w:p>
            <w:pPr>
              <w:widowControl/>
              <w:jc w:val="left"/>
              <w:rPr>
                <w:b/>
                <w:bCs/>
                <w:kern w:val="0"/>
                <w:sz w:val="24"/>
              </w:rPr>
            </w:pP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b/>
                <w:bCs/>
                <w:kern w:val="0"/>
                <w:sz w:val="24"/>
              </w:rPr>
            </w:pPr>
            <w:r>
              <w:rPr>
                <w:b/>
                <w:bCs/>
                <w:kern w:val="0"/>
                <w:sz w:val="24"/>
              </w:rPr>
              <w:t>3</w:t>
            </w:r>
          </w:p>
        </w:tc>
        <w:tc>
          <w:tcPr>
            <w:tcW w:w="5530" w:type="dxa"/>
            <w:tcBorders>
              <w:top w:val="single" w:color="auto" w:sz="4" w:space="0"/>
              <w:left w:val="nil"/>
              <w:bottom w:val="single" w:color="auto" w:sz="4" w:space="0"/>
              <w:right w:val="single" w:color="auto" w:sz="4" w:space="0"/>
            </w:tcBorders>
            <w:noWrap w:val="0"/>
            <w:vAlign w:val="center"/>
          </w:tcPr>
          <w:p>
            <w:pPr>
              <w:widowControl/>
              <w:rPr>
                <w:kern w:val="0"/>
                <w:sz w:val="24"/>
              </w:rPr>
            </w:pPr>
            <w:r>
              <w:rPr>
                <w:kern w:val="0"/>
                <w:sz w:val="24"/>
              </w:rPr>
              <w:t>考生父母有工作，但未办理社会保险（含基本养老保险和基本医疗保险）</w:t>
            </w:r>
          </w:p>
        </w:tc>
        <w:tc>
          <w:tcPr>
            <w:tcW w:w="8460" w:type="dxa"/>
            <w:tcBorders>
              <w:top w:val="single" w:color="auto" w:sz="4" w:space="0"/>
              <w:left w:val="nil"/>
              <w:bottom w:val="single" w:color="auto" w:sz="4" w:space="0"/>
              <w:right w:val="single" w:color="auto" w:sz="4" w:space="0"/>
            </w:tcBorders>
            <w:noWrap w:val="0"/>
            <w:vAlign w:val="center"/>
          </w:tcPr>
          <w:p>
            <w:pPr>
              <w:widowControl/>
              <w:rPr>
                <w:kern w:val="0"/>
                <w:sz w:val="24"/>
              </w:rPr>
            </w:pPr>
            <w:r>
              <w:rPr>
                <w:kern w:val="0"/>
                <w:sz w:val="24"/>
              </w:rPr>
              <w:t>不予认定。</w:t>
            </w:r>
          </w:p>
        </w:tc>
      </w:tr>
      <w:tr>
        <w:tblPrEx>
          <w:tblCellMar>
            <w:top w:w="0" w:type="dxa"/>
            <w:left w:w="108" w:type="dxa"/>
            <w:bottom w:w="0" w:type="dxa"/>
            <w:right w:w="108" w:type="dxa"/>
          </w:tblCellMar>
        </w:tblPrEx>
        <w:trPr>
          <w:trHeight w:val="645"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Cs/>
                <w:kern w:val="0"/>
                <w:sz w:val="24"/>
              </w:rPr>
            </w:pPr>
            <w:r>
              <w:rPr>
                <w:bCs/>
                <w:kern w:val="0"/>
                <w:sz w:val="24"/>
              </w:rPr>
              <w:t>认定类别</w:t>
            </w:r>
          </w:p>
        </w:tc>
        <w:tc>
          <w:tcPr>
            <w:tcW w:w="5930" w:type="dxa"/>
            <w:gridSpan w:val="2"/>
            <w:tcBorders>
              <w:top w:val="single" w:color="auto" w:sz="4" w:space="0"/>
              <w:left w:val="nil"/>
              <w:bottom w:val="single" w:color="auto" w:sz="4" w:space="0"/>
              <w:right w:val="single" w:color="auto" w:sz="4" w:space="0"/>
            </w:tcBorders>
            <w:noWrap w:val="0"/>
            <w:vAlign w:val="center"/>
          </w:tcPr>
          <w:p>
            <w:pPr>
              <w:widowControl/>
              <w:jc w:val="center"/>
              <w:rPr>
                <w:bCs/>
                <w:kern w:val="0"/>
                <w:sz w:val="24"/>
              </w:rPr>
            </w:pPr>
            <w:r>
              <w:rPr>
                <w:bCs/>
                <w:kern w:val="0"/>
                <w:sz w:val="24"/>
              </w:rPr>
              <w:t>具体情况列举</w:t>
            </w:r>
          </w:p>
        </w:tc>
        <w:tc>
          <w:tcPr>
            <w:tcW w:w="8460" w:type="dxa"/>
            <w:tcBorders>
              <w:top w:val="single" w:color="auto" w:sz="4" w:space="0"/>
              <w:left w:val="nil"/>
              <w:bottom w:val="single" w:color="auto" w:sz="4" w:space="0"/>
              <w:right w:val="single" w:color="auto" w:sz="4" w:space="0"/>
            </w:tcBorders>
            <w:noWrap w:val="0"/>
            <w:vAlign w:val="center"/>
          </w:tcPr>
          <w:p>
            <w:pPr>
              <w:widowControl/>
              <w:jc w:val="center"/>
              <w:rPr>
                <w:bCs/>
                <w:kern w:val="0"/>
                <w:sz w:val="24"/>
              </w:rPr>
            </w:pPr>
            <w:r>
              <w:rPr>
                <w:bCs/>
                <w:kern w:val="0"/>
                <w:sz w:val="24"/>
              </w:rPr>
              <w:t>处理指引</w:t>
            </w:r>
          </w:p>
        </w:tc>
      </w:tr>
      <w:tr>
        <w:tblPrEx>
          <w:tblCellMar>
            <w:top w:w="0" w:type="dxa"/>
            <w:left w:w="108" w:type="dxa"/>
            <w:bottom w:w="0" w:type="dxa"/>
            <w:right w:w="108" w:type="dxa"/>
          </w:tblCellMar>
        </w:tblPrEx>
        <w:trPr>
          <w:trHeight w:val="899" w:hRule="atLeast"/>
          <w:jc w:val="center"/>
        </w:trPr>
        <w:tc>
          <w:tcPr>
            <w:tcW w:w="8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b/>
                <w:bCs/>
                <w:kern w:val="0"/>
                <w:sz w:val="24"/>
              </w:rPr>
            </w:pPr>
            <w:r>
              <w:rPr>
                <w:b/>
                <w:bCs/>
                <w:kern w:val="0"/>
                <w:sz w:val="24"/>
              </w:rPr>
              <w:t>学籍认定</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b/>
                <w:bCs/>
                <w:kern w:val="0"/>
                <w:sz w:val="24"/>
              </w:rPr>
            </w:pPr>
            <w:r>
              <w:rPr>
                <w:b/>
                <w:bCs/>
                <w:kern w:val="0"/>
                <w:sz w:val="24"/>
              </w:rPr>
              <w:t>1</w:t>
            </w:r>
          </w:p>
        </w:tc>
        <w:tc>
          <w:tcPr>
            <w:tcW w:w="553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随迁子女在我省参加中考及在父亲或母亲就业所在地市具有高中阶段学校3年完整学籍</w:t>
            </w:r>
          </w:p>
        </w:tc>
        <w:tc>
          <w:tcPr>
            <w:tcW w:w="846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予以认定。</w:t>
            </w:r>
          </w:p>
        </w:tc>
      </w:tr>
      <w:tr>
        <w:tblPrEx>
          <w:tblCellMar>
            <w:top w:w="0" w:type="dxa"/>
            <w:left w:w="108" w:type="dxa"/>
            <w:bottom w:w="0" w:type="dxa"/>
            <w:right w:w="108" w:type="dxa"/>
          </w:tblCellMar>
        </w:tblPrEx>
        <w:trPr>
          <w:trHeight w:val="1032"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kern w:val="0"/>
                <w:sz w:val="24"/>
              </w:rPr>
            </w:pP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b/>
                <w:bCs/>
                <w:kern w:val="0"/>
                <w:sz w:val="24"/>
              </w:rPr>
            </w:pPr>
            <w:r>
              <w:rPr>
                <w:b/>
                <w:bCs/>
                <w:kern w:val="0"/>
                <w:sz w:val="24"/>
              </w:rPr>
              <w:t>2</w:t>
            </w:r>
          </w:p>
        </w:tc>
        <w:tc>
          <w:tcPr>
            <w:tcW w:w="553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随迁子女在我省参加中考并在我省具有高中阶段学校3年完整学籍，但考生学籍所在地与父母工作所在地为广东省内不同地市</w:t>
            </w:r>
          </w:p>
        </w:tc>
        <w:tc>
          <w:tcPr>
            <w:tcW w:w="846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予以认定。</w:t>
            </w:r>
          </w:p>
        </w:tc>
      </w:tr>
      <w:tr>
        <w:tblPrEx>
          <w:tblCellMar>
            <w:top w:w="0" w:type="dxa"/>
            <w:left w:w="108" w:type="dxa"/>
            <w:bottom w:w="0" w:type="dxa"/>
            <w:right w:w="108" w:type="dxa"/>
          </w:tblCellMar>
        </w:tblPrEx>
        <w:trPr>
          <w:trHeight w:val="619" w:hRule="atLeast"/>
          <w:jc w:val="center"/>
        </w:trPr>
        <w:tc>
          <w:tcPr>
            <w:tcW w:w="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kern w:val="0"/>
                <w:sz w:val="24"/>
              </w:rPr>
            </w:pP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b/>
                <w:bCs/>
                <w:kern w:val="0"/>
                <w:sz w:val="24"/>
              </w:rPr>
            </w:pPr>
            <w:r>
              <w:rPr>
                <w:b/>
                <w:bCs/>
                <w:kern w:val="0"/>
                <w:sz w:val="24"/>
              </w:rPr>
              <w:t>3</w:t>
            </w:r>
          </w:p>
        </w:tc>
        <w:tc>
          <w:tcPr>
            <w:tcW w:w="553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随迁子女不在我省参加中考，但在父亲或母亲就业所在地市具有高中阶段学校3年完整学籍</w:t>
            </w:r>
          </w:p>
        </w:tc>
        <w:tc>
          <w:tcPr>
            <w:tcW w:w="846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不予认定。</w:t>
            </w:r>
          </w:p>
        </w:tc>
      </w:tr>
      <w:tr>
        <w:tblPrEx>
          <w:tblCellMar>
            <w:top w:w="0" w:type="dxa"/>
            <w:left w:w="108" w:type="dxa"/>
            <w:bottom w:w="0" w:type="dxa"/>
            <w:right w:w="108" w:type="dxa"/>
          </w:tblCellMar>
        </w:tblPrEx>
        <w:trPr>
          <w:trHeight w:val="608" w:hRule="atLeast"/>
          <w:jc w:val="center"/>
        </w:trPr>
        <w:tc>
          <w:tcPr>
            <w:tcW w:w="800" w:type="dxa"/>
            <w:vMerge w:val="restart"/>
            <w:tcBorders>
              <w:top w:val="single" w:color="auto" w:sz="4" w:space="0"/>
              <w:left w:val="single" w:color="auto" w:sz="4" w:space="0"/>
              <w:right w:val="single" w:color="auto" w:sz="4" w:space="0"/>
            </w:tcBorders>
            <w:noWrap w:val="0"/>
            <w:vAlign w:val="center"/>
          </w:tcPr>
          <w:p>
            <w:pPr>
              <w:widowControl/>
              <w:jc w:val="center"/>
              <w:rPr>
                <w:b/>
                <w:bCs/>
                <w:kern w:val="0"/>
                <w:sz w:val="24"/>
              </w:rPr>
            </w:pPr>
            <w:r>
              <w:rPr>
                <w:b/>
                <w:bCs/>
                <w:kern w:val="0"/>
                <w:sz w:val="24"/>
              </w:rPr>
              <w:t>其他情况认定</w:t>
            </w: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b/>
                <w:bCs/>
                <w:kern w:val="0"/>
                <w:sz w:val="24"/>
              </w:rPr>
            </w:pPr>
            <w:r>
              <w:rPr>
                <w:b/>
                <w:bCs/>
                <w:kern w:val="0"/>
                <w:sz w:val="24"/>
              </w:rPr>
              <w:t>1</w:t>
            </w:r>
          </w:p>
        </w:tc>
        <w:tc>
          <w:tcPr>
            <w:tcW w:w="553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考生与父母不在同一户口本上</w:t>
            </w:r>
          </w:p>
        </w:tc>
        <w:tc>
          <w:tcPr>
            <w:tcW w:w="846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考生父母提供《出生医学证明》或其他亲子关系证明材料的予以认定，否则不予认定。</w:t>
            </w:r>
          </w:p>
        </w:tc>
      </w:tr>
      <w:tr>
        <w:tblPrEx>
          <w:tblCellMar>
            <w:top w:w="0" w:type="dxa"/>
            <w:left w:w="108" w:type="dxa"/>
            <w:bottom w:w="0" w:type="dxa"/>
            <w:right w:w="108" w:type="dxa"/>
          </w:tblCellMar>
        </w:tblPrEx>
        <w:trPr>
          <w:trHeight w:val="473" w:hRule="atLeast"/>
          <w:jc w:val="center"/>
        </w:trPr>
        <w:tc>
          <w:tcPr>
            <w:tcW w:w="800" w:type="dxa"/>
            <w:vMerge w:val="continue"/>
            <w:tcBorders>
              <w:top w:val="single" w:color="auto" w:sz="4" w:space="0"/>
              <w:left w:val="single" w:color="auto" w:sz="4" w:space="0"/>
              <w:right w:val="single" w:color="auto" w:sz="4" w:space="0"/>
            </w:tcBorders>
            <w:noWrap w:val="0"/>
            <w:vAlign w:val="center"/>
          </w:tcPr>
          <w:p>
            <w:pPr>
              <w:widowControl/>
              <w:jc w:val="left"/>
              <w:rPr>
                <w:b/>
                <w:bCs/>
                <w:kern w:val="0"/>
                <w:sz w:val="24"/>
              </w:rPr>
            </w:pP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b/>
                <w:bCs/>
                <w:kern w:val="0"/>
                <w:sz w:val="24"/>
              </w:rPr>
            </w:pPr>
            <w:r>
              <w:rPr>
                <w:b/>
                <w:bCs/>
                <w:kern w:val="0"/>
                <w:sz w:val="24"/>
              </w:rPr>
              <w:t>2</w:t>
            </w:r>
          </w:p>
        </w:tc>
        <w:tc>
          <w:tcPr>
            <w:tcW w:w="553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父亲母亲分别符合部分条件</w:t>
            </w:r>
          </w:p>
        </w:tc>
        <w:tc>
          <w:tcPr>
            <w:tcW w:w="846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考生父亲及母亲双方条件综合满足资格要求予以认定。</w:t>
            </w:r>
          </w:p>
        </w:tc>
      </w:tr>
      <w:tr>
        <w:tblPrEx>
          <w:tblCellMar>
            <w:top w:w="0" w:type="dxa"/>
            <w:left w:w="108" w:type="dxa"/>
            <w:bottom w:w="0" w:type="dxa"/>
            <w:right w:w="108" w:type="dxa"/>
          </w:tblCellMar>
        </w:tblPrEx>
        <w:trPr>
          <w:trHeight w:val="759" w:hRule="atLeast"/>
          <w:jc w:val="center"/>
        </w:trPr>
        <w:tc>
          <w:tcPr>
            <w:tcW w:w="800" w:type="dxa"/>
            <w:vMerge w:val="continue"/>
            <w:tcBorders>
              <w:left w:val="single" w:color="auto" w:sz="4" w:space="0"/>
              <w:right w:val="single" w:color="auto" w:sz="4" w:space="0"/>
            </w:tcBorders>
            <w:noWrap w:val="0"/>
            <w:vAlign w:val="center"/>
          </w:tcPr>
          <w:p>
            <w:pPr>
              <w:widowControl/>
              <w:jc w:val="left"/>
              <w:rPr>
                <w:b/>
                <w:bCs/>
                <w:kern w:val="0"/>
                <w:sz w:val="24"/>
              </w:rPr>
            </w:pP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b/>
                <w:bCs/>
                <w:kern w:val="0"/>
                <w:sz w:val="24"/>
              </w:rPr>
            </w:pPr>
            <w:r>
              <w:rPr>
                <w:b/>
                <w:bCs/>
                <w:kern w:val="0"/>
                <w:sz w:val="24"/>
              </w:rPr>
              <w:t>3</w:t>
            </w:r>
          </w:p>
        </w:tc>
        <w:tc>
          <w:tcPr>
            <w:tcW w:w="553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随迁子女往届考生是否可在广东省内报名参加高考</w:t>
            </w:r>
          </w:p>
        </w:tc>
        <w:tc>
          <w:tcPr>
            <w:tcW w:w="846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考生参加地市中考、具有我省连续三年完整高中学籍、父亲或母亲符合相关要求的可在广东省报名参加高考。</w:t>
            </w:r>
          </w:p>
        </w:tc>
      </w:tr>
      <w:tr>
        <w:tblPrEx>
          <w:tblCellMar>
            <w:top w:w="0" w:type="dxa"/>
            <w:left w:w="108" w:type="dxa"/>
            <w:bottom w:w="0" w:type="dxa"/>
            <w:right w:w="108" w:type="dxa"/>
          </w:tblCellMar>
        </w:tblPrEx>
        <w:trPr>
          <w:trHeight w:val="669" w:hRule="atLeast"/>
          <w:jc w:val="center"/>
        </w:trPr>
        <w:tc>
          <w:tcPr>
            <w:tcW w:w="800" w:type="dxa"/>
            <w:vMerge w:val="continue"/>
            <w:tcBorders>
              <w:left w:val="single" w:color="auto" w:sz="4" w:space="0"/>
              <w:right w:val="single" w:color="auto" w:sz="4" w:space="0"/>
            </w:tcBorders>
            <w:noWrap w:val="0"/>
            <w:vAlign w:val="center"/>
          </w:tcPr>
          <w:p>
            <w:pPr>
              <w:widowControl/>
              <w:jc w:val="left"/>
              <w:rPr>
                <w:b/>
                <w:bCs/>
                <w:kern w:val="0"/>
                <w:sz w:val="24"/>
              </w:rPr>
            </w:pP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b/>
                <w:bCs/>
                <w:kern w:val="0"/>
                <w:sz w:val="24"/>
              </w:rPr>
            </w:pPr>
            <w:r>
              <w:rPr>
                <w:b/>
                <w:bCs/>
                <w:kern w:val="0"/>
                <w:sz w:val="24"/>
              </w:rPr>
              <w:t>4</w:t>
            </w:r>
          </w:p>
        </w:tc>
        <w:tc>
          <w:tcPr>
            <w:tcW w:w="553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考生父母婚姻关系变更或考生父母身亡导致监护人变更</w:t>
            </w:r>
          </w:p>
        </w:tc>
        <w:tc>
          <w:tcPr>
            <w:tcW w:w="846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需提供监护人变更证明（法院判决书或监护人公证书等）。依据监护人条件审核考生报名资格，考生监护人符合相关要求考生即可在我省报名参加高考。</w:t>
            </w:r>
          </w:p>
        </w:tc>
      </w:tr>
      <w:tr>
        <w:tblPrEx>
          <w:tblCellMar>
            <w:top w:w="0" w:type="dxa"/>
            <w:left w:w="108" w:type="dxa"/>
            <w:bottom w:w="0" w:type="dxa"/>
            <w:right w:w="108" w:type="dxa"/>
          </w:tblCellMar>
        </w:tblPrEx>
        <w:trPr>
          <w:trHeight w:val="756" w:hRule="atLeast"/>
          <w:jc w:val="center"/>
        </w:trPr>
        <w:tc>
          <w:tcPr>
            <w:tcW w:w="800" w:type="dxa"/>
            <w:vMerge w:val="continue"/>
            <w:tcBorders>
              <w:left w:val="single" w:color="auto" w:sz="4" w:space="0"/>
              <w:right w:val="single" w:color="auto" w:sz="4" w:space="0"/>
            </w:tcBorders>
            <w:noWrap w:val="0"/>
            <w:vAlign w:val="center"/>
          </w:tcPr>
          <w:p>
            <w:pPr>
              <w:widowControl/>
              <w:jc w:val="left"/>
              <w:rPr>
                <w:b/>
                <w:bCs/>
                <w:kern w:val="0"/>
                <w:sz w:val="24"/>
              </w:rPr>
            </w:pP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b/>
                <w:bCs/>
                <w:kern w:val="0"/>
                <w:sz w:val="24"/>
              </w:rPr>
            </w:pPr>
            <w:r>
              <w:rPr>
                <w:b/>
                <w:bCs/>
                <w:kern w:val="0"/>
                <w:sz w:val="24"/>
              </w:rPr>
              <w:t>5</w:t>
            </w:r>
          </w:p>
        </w:tc>
        <w:tc>
          <w:tcPr>
            <w:tcW w:w="553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考生父母为广东省内户籍，考生为外省户籍</w:t>
            </w:r>
          </w:p>
        </w:tc>
        <w:tc>
          <w:tcPr>
            <w:tcW w:w="846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考生将户口迁入广东省内，符合我省报考条件可在我省参加高考报名。</w:t>
            </w:r>
          </w:p>
        </w:tc>
      </w:tr>
      <w:tr>
        <w:tblPrEx>
          <w:tblCellMar>
            <w:top w:w="0" w:type="dxa"/>
            <w:left w:w="108" w:type="dxa"/>
            <w:bottom w:w="0" w:type="dxa"/>
            <w:right w:w="108" w:type="dxa"/>
          </w:tblCellMar>
        </w:tblPrEx>
        <w:trPr>
          <w:trHeight w:val="640" w:hRule="atLeast"/>
          <w:jc w:val="center"/>
        </w:trPr>
        <w:tc>
          <w:tcPr>
            <w:tcW w:w="800" w:type="dxa"/>
            <w:vMerge w:val="continue"/>
            <w:tcBorders>
              <w:left w:val="single" w:color="auto" w:sz="4" w:space="0"/>
              <w:right w:val="single" w:color="auto" w:sz="4" w:space="0"/>
            </w:tcBorders>
            <w:noWrap w:val="0"/>
            <w:vAlign w:val="center"/>
          </w:tcPr>
          <w:p>
            <w:pPr>
              <w:widowControl/>
              <w:jc w:val="left"/>
              <w:rPr>
                <w:b/>
                <w:bCs/>
                <w:kern w:val="0"/>
                <w:sz w:val="24"/>
              </w:rPr>
            </w:pP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b/>
                <w:bCs/>
                <w:kern w:val="0"/>
                <w:sz w:val="24"/>
              </w:rPr>
            </w:pPr>
            <w:r>
              <w:rPr>
                <w:b/>
                <w:bCs/>
                <w:kern w:val="0"/>
                <w:sz w:val="24"/>
              </w:rPr>
              <w:t>6</w:t>
            </w:r>
          </w:p>
        </w:tc>
        <w:tc>
          <w:tcPr>
            <w:tcW w:w="553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不符合随迁子女在我省高考报名条件的</w:t>
            </w:r>
          </w:p>
        </w:tc>
        <w:tc>
          <w:tcPr>
            <w:tcW w:w="846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各市要做好随迁子女回户籍所在地参加高考的解释工作，并告知考生回到户籍所在省（市、区）报考。</w:t>
            </w:r>
          </w:p>
        </w:tc>
      </w:tr>
      <w:tr>
        <w:tblPrEx>
          <w:tblCellMar>
            <w:top w:w="0" w:type="dxa"/>
            <w:left w:w="108" w:type="dxa"/>
            <w:bottom w:w="0" w:type="dxa"/>
            <w:right w:w="108" w:type="dxa"/>
          </w:tblCellMar>
        </w:tblPrEx>
        <w:trPr>
          <w:trHeight w:val="637" w:hRule="atLeast"/>
          <w:jc w:val="center"/>
        </w:trPr>
        <w:tc>
          <w:tcPr>
            <w:tcW w:w="800" w:type="dxa"/>
            <w:vMerge w:val="continue"/>
            <w:tcBorders>
              <w:left w:val="single" w:color="auto" w:sz="4" w:space="0"/>
              <w:bottom w:val="single" w:color="auto" w:sz="4" w:space="0"/>
              <w:right w:val="single" w:color="auto" w:sz="4" w:space="0"/>
            </w:tcBorders>
            <w:noWrap w:val="0"/>
            <w:vAlign w:val="center"/>
          </w:tcPr>
          <w:p>
            <w:pPr>
              <w:widowControl/>
              <w:jc w:val="left"/>
              <w:rPr>
                <w:b/>
                <w:bCs/>
                <w:kern w:val="0"/>
                <w:sz w:val="24"/>
              </w:rPr>
            </w:pPr>
          </w:p>
        </w:tc>
        <w:tc>
          <w:tcPr>
            <w:tcW w:w="400" w:type="dxa"/>
            <w:tcBorders>
              <w:top w:val="single" w:color="auto" w:sz="4" w:space="0"/>
              <w:left w:val="nil"/>
              <w:bottom w:val="single" w:color="auto" w:sz="4" w:space="0"/>
              <w:right w:val="single" w:color="auto" w:sz="4" w:space="0"/>
            </w:tcBorders>
            <w:noWrap w:val="0"/>
            <w:vAlign w:val="center"/>
          </w:tcPr>
          <w:p>
            <w:pPr>
              <w:widowControl/>
              <w:jc w:val="center"/>
              <w:rPr>
                <w:b/>
                <w:bCs/>
                <w:kern w:val="0"/>
                <w:sz w:val="24"/>
              </w:rPr>
            </w:pPr>
            <w:r>
              <w:rPr>
                <w:b/>
                <w:bCs/>
                <w:kern w:val="0"/>
                <w:sz w:val="24"/>
              </w:rPr>
              <w:t>7</w:t>
            </w:r>
          </w:p>
        </w:tc>
        <w:tc>
          <w:tcPr>
            <w:tcW w:w="553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错过了户籍所在地高考报名时间的</w:t>
            </w:r>
          </w:p>
        </w:tc>
        <w:tc>
          <w:tcPr>
            <w:tcW w:w="8460"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rPr>
            </w:pPr>
            <w:r>
              <w:rPr>
                <w:kern w:val="0"/>
                <w:sz w:val="24"/>
              </w:rPr>
              <w:t>由各地市招生办负责汇总在规定的时间内上报省招办，省招办协调相关省（市、区）做好随迁子女回户籍所在地报名参加高考。</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13B26"/>
    <w:rsid w:val="2771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2023-10-17T06:56:00Z</dcterms:created>
  <dc:creator>琳楚</dc:creator>
  <cp:lastModifiedBy>琳楚</cp:lastModifiedBy>
  <dcterms:modified xsi:type="dcterms:W3CDTF">2023-10-17T07:23:15Z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