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atLeast"/>
        <w:rPr>
          <w:rFonts w:ascii="Times New Roman" w:hAnsi="Times New Roman" w:eastAsia="黑体" w:cs="Times New Roman"/>
          <w:sz w:val="32"/>
          <w:szCs w:val="32"/>
        </w:rPr>
      </w:pPr>
      <w:r>
        <w:rPr>
          <w:rFonts w:ascii="Times New Roman" w:hAnsi="Times New Roman" w:eastAsia="黑体" w:cs="Times New Roman"/>
          <w:sz w:val="32"/>
          <w:szCs w:val="32"/>
        </w:rPr>
        <w:t>附件2</w:t>
      </w:r>
    </w:p>
    <w:p>
      <w:pPr>
        <w:pStyle w:val="4"/>
        <w:spacing w:before="0" w:beforeAutospacing="0" w:after="0" w:afterAutospacing="0" w:line="560" w:lineRule="atLeas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东莞市2024年进城务工人员随迁子女高考报名审核流程</w:t>
      </w:r>
    </w:p>
    <w:tbl>
      <w:tblPr>
        <w:tblStyle w:val="5"/>
        <w:tblW w:w="1507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4090"/>
        <w:gridCol w:w="2435"/>
        <w:gridCol w:w="5365"/>
        <w:gridCol w:w="24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tblHeader/>
          <w:jc w:val="center"/>
        </w:trPr>
        <w:tc>
          <w:tcPr>
            <w:tcW w:w="747" w:type="dxa"/>
            <w:noWrap w:val="0"/>
            <w:vAlign w:val="center"/>
          </w:tcPr>
          <w:p>
            <w:pPr>
              <w:widowControl/>
              <w:snapToGrid w:val="0"/>
              <w:jc w:val="center"/>
              <w:rPr>
                <w:b/>
                <w:kern w:val="0"/>
                <w:sz w:val="24"/>
              </w:rPr>
            </w:pPr>
            <w:r>
              <w:rPr>
                <w:b/>
                <w:kern w:val="0"/>
                <w:sz w:val="24"/>
              </w:rPr>
              <w:t>流程</w:t>
            </w:r>
          </w:p>
        </w:tc>
        <w:tc>
          <w:tcPr>
            <w:tcW w:w="4090" w:type="dxa"/>
            <w:noWrap w:val="0"/>
            <w:vAlign w:val="center"/>
          </w:tcPr>
          <w:p>
            <w:pPr>
              <w:widowControl/>
              <w:snapToGrid w:val="0"/>
              <w:jc w:val="center"/>
              <w:rPr>
                <w:b/>
                <w:kern w:val="0"/>
                <w:sz w:val="24"/>
              </w:rPr>
            </w:pPr>
            <w:r>
              <w:rPr>
                <w:b/>
                <w:kern w:val="0"/>
                <w:sz w:val="24"/>
              </w:rPr>
              <w:t>审核内容和流程</w:t>
            </w:r>
          </w:p>
        </w:tc>
        <w:tc>
          <w:tcPr>
            <w:tcW w:w="2435" w:type="dxa"/>
            <w:noWrap w:val="0"/>
            <w:vAlign w:val="center"/>
          </w:tcPr>
          <w:p>
            <w:pPr>
              <w:widowControl/>
              <w:snapToGrid w:val="0"/>
              <w:jc w:val="center"/>
              <w:rPr>
                <w:b/>
                <w:kern w:val="0"/>
                <w:sz w:val="24"/>
              </w:rPr>
            </w:pPr>
            <w:r>
              <w:rPr>
                <w:b/>
                <w:kern w:val="0"/>
                <w:sz w:val="24"/>
              </w:rPr>
              <w:t>审核单位</w:t>
            </w:r>
          </w:p>
        </w:tc>
        <w:tc>
          <w:tcPr>
            <w:tcW w:w="5365" w:type="dxa"/>
            <w:noWrap w:val="0"/>
            <w:vAlign w:val="center"/>
          </w:tcPr>
          <w:p>
            <w:pPr>
              <w:widowControl/>
              <w:snapToGrid w:val="0"/>
              <w:jc w:val="center"/>
              <w:rPr>
                <w:b/>
                <w:kern w:val="0"/>
                <w:sz w:val="24"/>
              </w:rPr>
            </w:pPr>
            <w:r>
              <w:rPr>
                <w:b/>
                <w:kern w:val="0"/>
                <w:sz w:val="24"/>
              </w:rPr>
              <w:t>考生交验材料</w:t>
            </w:r>
          </w:p>
        </w:tc>
        <w:tc>
          <w:tcPr>
            <w:tcW w:w="2438" w:type="dxa"/>
            <w:tcBorders>
              <w:right w:val="single" w:color="auto" w:sz="4" w:space="0"/>
            </w:tcBorders>
            <w:noWrap w:val="0"/>
            <w:vAlign w:val="center"/>
          </w:tcPr>
          <w:p>
            <w:pPr>
              <w:widowControl/>
              <w:snapToGrid w:val="0"/>
              <w:jc w:val="center"/>
              <w:rPr>
                <w:b/>
                <w:kern w:val="0"/>
                <w:sz w:val="24"/>
              </w:rPr>
            </w:pPr>
            <w:r>
              <w:rPr>
                <w:b/>
                <w:kern w:val="0"/>
                <w:sz w:val="24"/>
              </w:rPr>
              <w:t>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04" w:hRule="atLeast"/>
          <w:jc w:val="center"/>
        </w:trPr>
        <w:tc>
          <w:tcPr>
            <w:tcW w:w="747" w:type="dxa"/>
            <w:noWrap w:val="0"/>
            <w:vAlign w:val="center"/>
          </w:tcPr>
          <w:p>
            <w:pPr>
              <w:widowControl/>
              <w:snapToGrid w:val="0"/>
              <w:jc w:val="center"/>
              <w:rPr>
                <w:rFonts w:eastAsia="仿宋_GB2312"/>
                <w:kern w:val="0"/>
                <w:sz w:val="24"/>
              </w:rPr>
            </w:pPr>
            <w:r>
              <w:rPr>
                <w:rFonts w:eastAsia="仿宋_GB2312"/>
                <w:kern w:val="0"/>
                <w:sz w:val="24"/>
              </w:rPr>
              <w:t>1</w:t>
            </w:r>
          </w:p>
        </w:tc>
        <w:tc>
          <w:tcPr>
            <w:tcW w:w="4090" w:type="dxa"/>
            <w:noWrap w:val="0"/>
            <w:vAlign w:val="center"/>
          </w:tcPr>
          <w:p>
            <w:pPr>
              <w:widowControl/>
              <w:snapToGrid w:val="0"/>
              <w:rPr>
                <w:sz w:val="24"/>
              </w:rPr>
            </w:pPr>
            <w:r>
              <w:rPr>
                <w:kern w:val="0"/>
                <w:sz w:val="24"/>
              </w:rPr>
              <w:t>对</w:t>
            </w:r>
            <w:r>
              <w:rPr>
                <w:sz w:val="24"/>
              </w:rPr>
              <w:t>《随迁子女资格审核表》和考生提交的材料进行初步审核，核实考生所填信息是否真实准确，核实考生是否符合报考条件。主要核实</w:t>
            </w:r>
            <w:r>
              <w:rPr>
                <w:kern w:val="0"/>
                <w:sz w:val="24"/>
              </w:rPr>
              <w:t>考生是属于否随迁子女，核实考生与提供审核材料人员的关系，核实提供审核材料人员（考生父母或监护人）是否非广东省户籍进城务工人员，核实考生的学籍情况。</w:t>
            </w:r>
          </w:p>
        </w:tc>
        <w:tc>
          <w:tcPr>
            <w:tcW w:w="2435" w:type="dxa"/>
            <w:noWrap w:val="0"/>
            <w:vAlign w:val="center"/>
          </w:tcPr>
          <w:p>
            <w:pPr>
              <w:widowControl/>
              <w:snapToGrid w:val="0"/>
              <w:rPr>
                <w:kern w:val="0"/>
                <w:sz w:val="24"/>
              </w:rPr>
            </w:pPr>
            <w:r>
              <w:rPr>
                <w:kern w:val="0"/>
                <w:sz w:val="24"/>
              </w:rPr>
              <w:t>各普通高中、中等职业学校及技工学校</w:t>
            </w:r>
          </w:p>
        </w:tc>
        <w:tc>
          <w:tcPr>
            <w:tcW w:w="5365" w:type="dxa"/>
            <w:noWrap w:val="0"/>
            <w:vAlign w:val="center"/>
          </w:tcPr>
          <w:p>
            <w:pPr>
              <w:widowControl/>
              <w:snapToGrid w:val="0"/>
              <w:rPr>
                <w:sz w:val="24"/>
              </w:rPr>
            </w:pPr>
            <w:r>
              <w:rPr>
                <w:sz w:val="24"/>
              </w:rPr>
              <w:t>1、考生与提供审核资料人员的关系证明。考生与父母户口在一起的交验考生和父母的户口簿；考生与父母户口不在一起的，提供考生和父母的身份证及双方关系证明（例如出生证明、亲子关系鉴定证明等）；考生父母身亡或者其他法律关系变更导致监护人变更的提供监护人变更证明（法院判决书或监护人公证书）。</w:t>
            </w:r>
          </w:p>
          <w:p>
            <w:pPr>
              <w:widowControl/>
              <w:snapToGrid w:val="0"/>
              <w:rPr>
                <w:sz w:val="24"/>
              </w:rPr>
            </w:pPr>
            <w:r>
              <w:rPr>
                <w:sz w:val="24"/>
              </w:rPr>
              <w:t>2、提供审核资料人员的《广东省居住证》。</w:t>
            </w:r>
          </w:p>
          <w:p>
            <w:pPr>
              <w:widowControl/>
              <w:snapToGrid w:val="0"/>
              <w:rPr>
                <w:sz w:val="24"/>
              </w:rPr>
            </w:pPr>
            <w:r>
              <w:rPr>
                <w:sz w:val="24"/>
              </w:rPr>
              <w:t>3、提供审核资料人员的《社会保险参保证明》（含养老和医疗两个险种）。</w:t>
            </w:r>
          </w:p>
          <w:p>
            <w:pPr>
              <w:widowControl/>
              <w:snapToGrid w:val="0"/>
              <w:jc w:val="left"/>
              <w:rPr>
                <w:sz w:val="24"/>
              </w:rPr>
            </w:pPr>
          </w:p>
        </w:tc>
        <w:tc>
          <w:tcPr>
            <w:tcW w:w="2438" w:type="dxa"/>
            <w:tcBorders>
              <w:right w:val="single" w:color="auto" w:sz="4" w:space="0"/>
            </w:tcBorders>
            <w:noWrap w:val="0"/>
            <w:vAlign w:val="center"/>
          </w:tcPr>
          <w:p>
            <w:pPr>
              <w:widowControl/>
              <w:snapToGrid w:val="0"/>
              <w:jc w:val="center"/>
              <w:rPr>
                <w:kern w:val="0"/>
                <w:sz w:val="24"/>
              </w:rPr>
            </w:pPr>
            <w:r>
              <w:rPr>
                <w:kern w:val="0"/>
                <w:sz w:val="24"/>
              </w:rPr>
              <w:t>考生就读学校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88" w:hRule="atLeast"/>
          <w:jc w:val="center"/>
        </w:trPr>
        <w:tc>
          <w:tcPr>
            <w:tcW w:w="747" w:type="dxa"/>
            <w:noWrap w:val="0"/>
            <w:vAlign w:val="center"/>
          </w:tcPr>
          <w:p>
            <w:pPr>
              <w:widowControl/>
              <w:snapToGrid w:val="0"/>
              <w:jc w:val="center"/>
              <w:rPr>
                <w:rFonts w:eastAsia="仿宋_GB2312"/>
                <w:kern w:val="0"/>
                <w:sz w:val="24"/>
              </w:rPr>
            </w:pPr>
            <w:r>
              <w:rPr>
                <w:rFonts w:eastAsia="仿宋_GB2312"/>
                <w:kern w:val="0"/>
                <w:sz w:val="24"/>
              </w:rPr>
              <w:t>2</w:t>
            </w:r>
          </w:p>
        </w:tc>
        <w:tc>
          <w:tcPr>
            <w:tcW w:w="4090" w:type="dxa"/>
            <w:noWrap w:val="0"/>
            <w:vAlign w:val="center"/>
          </w:tcPr>
          <w:p>
            <w:pPr>
              <w:widowControl/>
              <w:snapToGrid w:val="0"/>
              <w:rPr>
                <w:sz w:val="24"/>
              </w:rPr>
            </w:pPr>
            <w:r>
              <w:rPr>
                <w:sz w:val="24"/>
              </w:rPr>
              <w:t>审核进城务工人员在我省依法参加社会保险（养老保险和医疗保险）缴费累计年限及合法稳定职业情况。在我市高中阶段学校就读或毕业的随迁子女考生，直接由市人力资源社会保障局、市医疗保障局在系统上进行审核，审核后直接在报名系统反馈审核结果，并在审核汇总表上盖章后报市招办。</w:t>
            </w:r>
          </w:p>
          <w:p>
            <w:pPr>
              <w:widowControl/>
              <w:snapToGrid w:val="0"/>
              <w:rPr>
                <w:sz w:val="24"/>
              </w:rPr>
            </w:pPr>
          </w:p>
        </w:tc>
        <w:tc>
          <w:tcPr>
            <w:tcW w:w="2435" w:type="dxa"/>
            <w:noWrap w:val="0"/>
            <w:vAlign w:val="center"/>
          </w:tcPr>
          <w:p>
            <w:pPr>
              <w:widowControl/>
              <w:snapToGrid w:val="0"/>
              <w:rPr>
                <w:kern w:val="0"/>
                <w:sz w:val="24"/>
              </w:rPr>
            </w:pPr>
            <w:r>
              <w:rPr>
                <w:kern w:val="0"/>
                <w:sz w:val="24"/>
              </w:rPr>
              <w:t>市人力资源社会保障局、市</w:t>
            </w:r>
            <w:r>
              <w:rPr>
                <w:sz w:val="24"/>
              </w:rPr>
              <w:t>医疗保障局</w:t>
            </w:r>
          </w:p>
        </w:tc>
        <w:tc>
          <w:tcPr>
            <w:tcW w:w="5365" w:type="dxa"/>
            <w:vMerge w:val="restart"/>
            <w:noWrap w:val="0"/>
            <w:vAlign w:val="top"/>
          </w:tcPr>
          <w:p>
            <w:pPr>
              <w:snapToGrid w:val="0"/>
              <w:spacing w:before="120" w:beforeLines="50"/>
              <w:rPr>
                <w:sz w:val="24"/>
              </w:rPr>
            </w:pPr>
            <w:r>
              <w:rPr>
                <w:kern w:val="0"/>
                <w:sz w:val="24"/>
              </w:rPr>
              <w:t>在我市高中阶段学校就读或毕业的随迁子女考生</w:t>
            </w:r>
            <w:r>
              <w:rPr>
                <w:b/>
                <w:kern w:val="0"/>
                <w:sz w:val="24"/>
              </w:rPr>
              <w:t>无需提供审核材料。</w:t>
            </w:r>
            <w:r>
              <w:rPr>
                <w:kern w:val="0"/>
                <w:sz w:val="24"/>
              </w:rPr>
              <w:t>在本省外市高中阶段学校就读的随迁子女考生，</w:t>
            </w:r>
            <w:r>
              <w:rPr>
                <w:b/>
                <w:bCs/>
                <w:kern w:val="0"/>
                <w:sz w:val="24"/>
              </w:rPr>
              <w:t>考生父母在我市办理居住证、参加社保的，仍</w:t>
            </w:r>
            <w:r>
              <w:rPr>
                <w:b/>
                <w:bCs/>
                <w:sz w:val="24"/>
              </w:rPr>
              <w:t>由考生家长持居住证、社保参保证明等审核材料及审核表分别到镇街公安分局（审核居住证和合法稳定住所）、社会保险基金管理中心（审核社保和合法稳定职业）进行审核。</w:t>
            </w:r>
          </w:p>
        </w:tc>
        <w:tc>
          <w:tcPr>
            <w:tcW w:w="2438" w:type="dxa"/>
            <w:tcBorders>
              <w:right w:val="single" w:color="auto" w:sz="4" w:space="0"/>
            </w:tcBorders>
            <w:noWrap w:val="0"/>
            <w:vAlign w:val="center"/>
          </w:tcPr>
          <w:p>
            <w:pPr>
              <w:widowControl/>
              <w:snapToGrid w:val="0"/>
              <w:jc w:val="center"/>
              <w:rPr>
                <w:kern w:val="0"/>
                <w:sz w:val="24"/>
              </w:rPr>
            </w:pPr>
            <w:r>
              <w:rPr>
                <w:kern w:val="0"/>
                <w:sz w:val="24"/>
              </w:rPr>
              <w:t>市人力资源和</w:t>
            </w:r>
          </w:p>
          <w:p>
            <w:pPr>
              <w:widowControl/>
              <w:snapToGrid w:val="0"/>
              <w:jc w:val="center"/>
              <w:rPr>
                <w:kern w:val="0"/>
                <w:sz w:val="24"/>
              </w:rPr>
            </w:pPr>
            <w:r>
              <w:rPr>
                <w:kern w:val="0"/>
                <w:sz w:val="24"/>
              </w:rPr>
              <w:t>社会保障局</w:t>
            </w:r>
          </w:p>
          <w:p>
            <w:pPr>
              <w:widowControl/>
              <w:snapToGrid w:val="0"/>
              <w:jc w:val="center"/>
              <w:rPr>
                <w:kern w:val="0"/>
                <w:sz w:val="24"/>
              </w:rPr>
            </w:pPr>
            <w:r>
              <w:rPr>
                <w:kern w:val="0"/>
                <w:sz w:val="24"/>
              </w:rPr>
              <w:t>（22330733）</w:t>
            </w:r>
          </w:p>
          <w:p>
            <w:pPr>
              <w:widowControl/>
              <w:snapToGrid w:val="0"/>
              <w:jc w:val="center"/>
              <w:rPr>
                <w:sz w:val="24"/>
              </w:rPr>
            </w:pPr>
            <w:r>
              <w:rPr>
                <w:kern w:val="0"/>
                <w:sz w:val="24"/>
              </w:rPr>
              <w:t>市</w:t>
            </w:r>
            <w:r>
              <w:rPr>
                <w:sz w:val="24"/>
              </w:rPr>
              <w:t>医疗保障局</w:t>
            </w:r>
          </w:p>
          <w:p>
            <w:pPr>
              <w:widowControl/>
              <w:snapToGrid w:val="0"/>
              <w:jc w:val="center"/>
              <w:rPr>
                <w:sz w:val="24"/>
              </w:rPr>
            </w:pPr>
            <w:r>
              <w:rPr>
                <w:sz w:val="24"/>
              </w:rPr>
              <w:t>（22860380）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48" w:hRule="atLeast"/>
          <w:jc w:val="center"/>
        </w:trPr>
        <w:tc>
          <w:tcPr>
            <w:tcW w:w="747" w:type="dxa"/>
            <w:noWrap w:val="0"/>
            <w:vAlign w:val="center"/>
          </w:tcPr>
          <w:p>
            <w:pPr>
              <w:widowControl/>
              <w:snapToGrid w:val="0"/>
              <w:jc w:val="center"/>
              <w:rPr>
                <w:rFonts w:eastAsia="仿宋_GB2312"/>
                <w:kern w:val="0"/>
                <w:sz w:val="24"/>
              </w:rPr>
            </w:pPr>
            <w:r>
              <w:rPr>
                <w:rFonts w:eastAsia="仿宋_GB2312"/>
                <w:kern w:val="0"/>
                <w:sz w:val="24"/>
              </w:rPr>
              <w:t>3</w:t>
            </w:r>
          </w:p>
        </w:tc>
        <w:tc>
          <w:tcPr>
            <w:tcW w:w="4090" w:type="dxa"/>
            <w:noWrap w:val="0"/>
            <w:vAlign w:val="center"/>
          </w:tcPr>
          <w:p>
            <w:pPr>
              <w:widowControl/>
              <w:snapToGrid w:val="0"/>
              <w:rPr>
                <w:sz w:val="24"/>
              </w:rPr>
            </w:pPr>
            <w:r>
              <w:rPr>
                <w:sz w:val="24"/>
              </w:rPr>
              <w:t>审核进城务工人员持有我省居住证及合法稳定住所情况。在我市高中阶段学校就读或毕业的随迁子女考生，直接由市公安局在系统上进行审核，审核后直接在报名系统反馈审核结果，并在审核汇总表上盖章后报市招办。</w:t>
            </w:r>
          </w:p>
          <w:p>
            <w:pPr>
              <w:widowControl/>
              <w:snapToGrid w:val="0"/>
              <w:rPr>
                <w:sz w:val="24"/>
              </w:rPr>
            </w:pPr>
          </w:p>
        </w:tc>
        <w:tc>
          <w:tcPr>
            <w:tcW w:w="2435" w:type="dxa"/>
            <w:tcBorders>
              <w:bottom w:val="single" w:color="auto" w:sz="4" w:space="0"/>
            </w:tcBorders>
            <w:noWrap w:val="0"/>
            <w:vAlign w:val="center"/>
          </w:tcPr>
          <w:p>
            <w:pPr>
              <w:widowControl/>
              <w:snapToGrid w:val="0"/>
              <w:rPr>
                <w:sz w:val="24"/>
              </w:rPr>
            </w:pPr>
            <w:r>
              <w:rPr>
                <w:sz w:val="24"/>
              </w:rPr>
              <w:t>市公安局（本市考生）</w:t>
            </w:r>
          </w:p>
          <w:p>
            <w:pPr>
              <w:widowControl/>
              <w:snapToGrid w:val="0"/>
              <w:rPr>
                <w:b/>
                <w:color w:val="FF0000"/>
                <w:kern w:val="0"/>
                <w:sz w:val="24"/>
              </w:rPr>
            </w:pPr>
            <w:r>
              <w:rPr>
                <w:sz w:val="24"/>
              </w:rPr>
              <w:t>镇街公安分局（外市考生）</w:t>
            </w:r>
          </w:p>
        </w:tc>
        <w:tc>
          <w:tcPr>
            <w:tcW w:w="5365" w:type="dxa"/>
            <w:vMerge w:val="continue"/>
            <w:tcBorders>
              <w:bottom w:val="single" w:color="auto" w:sz="4" w:space="0"/>
            </w:tcBorders>
            <w:noWrap w:val="0"/>
            <w:vAlign w:val="center"/>
          </w:tcPr>
          <w:p>
            <w:pPr>
              <w:snapToGrid w:val="0"/>
              <w:rPr>
                <w:sz w:val="24"/>
              </w:rPr>
            </w:pPr>
          </w:p>
        </w:tc>
        <w:tc>
          <w:tcPr>
            <w:tcW w:w="2438" w:type="dxa"/>
            <w:tcBorders>
              <w:right w:val="single" w:color="auto" w:sz="4" w:space="0"/>
            </w:tcBorders>
            <w:noWrap w:val="0"/>
            <w:vAlign w:val="center"/>
          </w:tcPr>
          <w:p>
            <w:pPr>
              <w:jc w:val="center"/>
              <w:rPr>
                <w:sz w:val="24"/>
              </w:rPr>
            </w:pPr>
            <w:r>
              <w:rPr>
                <w:sz w:val="24"/>
              </w:rPr>
              <w:t>市公安局</w:t>
            </w:r>
          </w:p>
          <w:p>
            <w:pPr>
              <w:jc w:val="center"/>
              <w:rPr>
                <w:sz w:val="24"/>
              </w:rPr>
            </w:pPr>
            <w:r>
              <w:rPr>
                <w:sz w:val="24"/>
              </w:rPr>
              <w:t>22481102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9" w:hRule="atLeast"/>
          <w:jc w:val="center"/>
        </w:trPr>
        <w:tc>
          <w:tcPr>
            <w:tcW w:w="747" w:type="dxa"/>
            <w:noWrap w:val="0"/>
            <w:vAlign w:val="center"/>
          </w:tcPr>
          <w:p>
            <w:pPr>
              <w:widowControl/>
              <w:snapToGrid w:val="0"/>
              <w:jc w:val="center"/>
              <w:rPr>
                <w:rFonts w:eastAsia="仿宋_GB2312"/>
                <w:kern w:val="0"/>
                <w:sz w:val="24"/>
              </w:rPr>
            </w:pPr>
            <w:r>
              <w:rPr>
                <w:rFonts w:eastAsia="仿宋_GB2312"/>
                <w:kern w:val="0"/>
                <w:sz w:val="24"/>
              </w:rPr>
              <w:t>4</w:t>
            </w:r>
          </w:p>
        </w:tc>
        <w:tc>
          <w:tcPr>
            <w:tcW w:w="4090" w:type="dxa"/>
            <w:noWrap w:val="0"/>
            <w:vAlign w:val="center"/>
          </w:tcPr>
          <w:p>
            <w:pPr>
              <w:widowControl/>
              <w:snapToGrid w:val="0"/>
              <w:jc w:val="left"/>
              <w:rPr>
                <w:sz w:val="24"/>
              </w:rPr>
            </w:pPr>
            <w:r>
              <w:rPr>
                <w:sz w:val="24"/>
              </w:rPr>
              <w:t>审核进城务工人员随迁子女高中阶段学校连续就学年限和学籍情况。直接由市教育局（负责普通高中和中职学校）、市人力资源社会保障局（负责技工学校）在系统上进行审核，审核后直接在报名系统反馈审核结果，并在审核汇总表上盖章后报市招办。</w:t>
            </w:r>
          </w:p>
        </w:tc>
        <w:tc>
          <w:tcPr>
            <w:tcW w:w="2435" w:type="dxa"/>
            <w:tcBorders>
              <w:top w:val="single" w:color="auto" w:sz="4" w:space="0"/>
            </w:tcBorders>
            <w:noWrap w:val="0"/>
            <w:vAlign w:val="center"/>
          </w:tcPr>
          <w:p>
            <w:pPr>
              <w:widowControl/>
              <w:snapToGrid w:val="0"/>
              <w:jc w:val="left"/>
              <w:rPr>
                <w:kern w:val="0"/>
                <w:sz w:val="24"/>
              </w:rPr>
            </w:pPr>
            <w:r>
              <w:rPr>
                <w:kern w:val="0"/>
                <w:sz w:val="24"/>
              </w:rPr>
              <w:t>市教育局（普通高中和中职学校）</w:t>
            </w:r>
          </w:p>
          <w:p>
            <w:pPr>
              <w:widowControl/>
              <w:snapToGrid w:val="0"/>
              <w:jc w:val="left"/>
              <w:rPr>
                <w:kern w:val="0"/>
                <w:sz w:val="24"/>
              </w:rPr>
            </w:pPr>
            <w:r>
              <w:rPr>
                <w:kern w:val="0"/>
                <w:sz w:val="24"/>
              </w:rPr>
              <w:t>市人力资源和社会保障局（技工学校）</w:t>
            </w:r>
          </w:p>
        </w:tc>
        <w:tc>
          <w:tcPr>
            <w:tcW w:w="5365" w:type="dxa"/>
            <w:tcBorders>
              <w:top w:val="single" w:color="auto" w:sz="4" w:space="0"/>
            </w:tcBorders>
            <w:noWrap w:val="0"/>
            <w:vAlign w:val="center"/>
          </w:tcPr>
          <w:p>
            <w:pPr>
              <w:snapToGrid w:val="0"/>
              <w:rPr>
                <w:sz w:val="24"/>
              </w:rPr>
            </w:pPr>
            <w:r>
              <w:rPr>
                <w:sz w:val="24"/>
              </w:rPr>
              <w:t>考生无需提供审核材料。</w:t>
            </w:r>
          </w:p>
        </w:tc>
        <w:tc>
          <w:tcPr>
            <w:tcW w:w="2438" w:type="dxa"/>
            <w:tcBorders>
              <w:right w:val="single" w:color="auto" w:sz="4" w:space="0"/>
            </w:tcBorders>
            <w:noWrap w:val="0"/>
            <w:vAlign w:val="center"/>
          </w:tcPr>
          <w:p>
            <w:pPr>
              <w:snapToGrid w:val="0"/>
              <w:jc w:val="center"/>
              <w:rPr>
                <w:kern w:val="0"/>
                <w:sz w:val="24"/>
              </w:rPr>
            </w:pPr>
            <w:r>
              <w:rPr>
                <w:kern w:val="0"/>
                <w:sz w:val="24"/>
              </w:rPr>
              <w:t>市教育局</w:t>
            </w:r>
          </w:p>
          <w:p>
            <w:pPr>
              <w:snapToGrid w:val="0"/>
              <w:jc w:val="center"/>
              <w:rPr>
                <w:kern w:val="0"/>
                <w:sz w:val="24"/>
              </w:rPr>
            </w:pPr>
            <w:r>
              <w:rPr>
                <w:kern w:val="0"/>
                <w:sz w:val="24"/>
              </w:rPr>
              <w:t>23126112（普高）28330899（中职）</w:t>
            </w:r>
          </w:p>
          <w:p>
            <w:pPr>
              <w:snapToGrid w:val="0"/>
              <w:jc w:val="center"/>
              <w:rPr>
                <w:kern w:val="0"/>
                <w:sz w:val="24"/>
              </w:rPr>
            </w:pPr>
            <w:r>
              <w:rPr>
                <w:kern w:val="0"/>
                <w:sz w:val="24"/>
              </w:rPr>
              <w:t>22680322（技工）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72" w:hRule="atLeast"/>
          <w:jc w:val="center"/>
        </w:trPr>
        <w:tc>
          <w:tcPr>
            <w:tcW w:w="747" w:type="dxa"/>
            <w:noWrap w:val="0"/>
            <w:vAlign w:val="center"/>
          </w:tcPr>
          <w:p>
            <w:pPr>
              <w:widowControl/>
              <w:snapToGrid w:val="0"/>
              <w:jc w:val="center"/>
              <w:rPr>
                <w:rFonts w:eastAsia="仿宋_GB2312"/>
                <w:kern w:val="0"/>
                <w:sz w:val="24"/>
              </w:rPr>
            </w:pPr>
            <w:r>
              <w:rPr>
                <w:rFonts w:eastAsia="仿宋_GB2312"/>
                <w:kern w:val="0"/>
                <w:sz w:val="24"/>
              </w:rPr>
              <w:t>5</w:t>
            </w:r>
          </w:p>
        </w:tc>
        <w:tc>
          <w:tcPr>
            <w:tcW w:w="4090" w:type="dxa"/>
            <w:noWrap w:val="0"/>
            <w:vAlign w:val="center"/>
          </w:tcPr>
          <w:p>
            <w:pPr>
              <w:widowControl/>
              <w:snapToGrid w:val="0"/>
              <w:jc w:val="left"/>
              <w:rPr>
                <w:kern w:val="0"/>
                <w:sz w:val="24"/>
              </w:rPr>
            </w:pPr>
            <w:r>
              <w:rPr>
                <w:kern w:val="0"/>
                <w:sz w:val="24"/>
              </w:rPr>
              <w:t>进城务工人员随迁子女报名资格终审。经</w:t>
            </w:r>
            <w:r>
              <w:rPr>
                <w:sz w:val="24"/>
              </w:rPr>
              <w:t>报名点学校初审、各部门审核后，由市招生考试办公室进行报名资格终审，最终确定报名资格。</w:t>
            </w:r>
          </w:p>
        </w:tc>
        <w:tc>
          <w:tcPr>
            <w:tcW w:w="2435" w:type="dxa"/>
            <w:noWrap w:val="0"/>
            <w:vAlign w:val="center"/>
          </w:tcPr>
          <w:p>
            <w:pPr>
              <w:widowControl/>
              <w:snapToGrid w:val="0"/>
              <w:jc w:val="center"/>
              <w:rPr>
                <w:kern w:val="0"/>
                <w:sz w:val="24"/>
              </w:rPr>
            </w:pPr>
            <w:r>
              <w:rPr>
                <w:kern w:val="0"/>
                <w:sz w:val="24"/>
              </w:rPr>
              <w:t>市招生考试办公室</w:t>
            </w:r>
          </w:p>
        </w:tc>
        <w:tc>
          <w:tcPr>
            <w:tcW w:w="5365" w:type="dxa"/>
            <w:tcBorders>
              <w:top w:val="single" w:color="auto" w:sz="4" w:space="0"/>
            </w:tcBorders>
            <w:noWrap w:val="0"/>
            <w:vAlign w:val="center"/>
          </w:tcPr>
          <w:p>
            <w:pPr>
              <w:snapToGrid w:val="0"/>
              <w:rPr>
                <w:kern w:val="0"/>
                <w:sz w:val="24"/>
              </w:rPr>
            </w:pPr>
            <w:r>
              <w:rPr>
                <w:sz w:val="24"/>
              </w:rPr>
              <w:t>考生无需提供审核材料。</w:t>
            </w:r>
          </w:p>
        </w:tc>
        <w:tc>
          <w:tcPr>
            <w:tcW w:w="2438" w:type="dxa"/>
            <w:tcBorders>
              <w:right w:val="single" w:color="auto" w:sz="4" w:space="0"/>
            </w:tcBorders>
            <w:noWrap w:val="0"/>
            <w:vAlign w:val="center"/>
          </w:tcPr>
          <w:p>
            <w:pPr>
              <w:snapToGrid w:val="0"/>
              <w:jc w:val="center"/>
              <w:rPr>
                <w:kern w:val="0"/>
                <w:sz w:val="24"/>
              </w:rPr>
            </w:pPr>
            <w:r>
              <w:rPr>
                <w:kern w:val="0"/>
                <w:sz w:val="24"/>
              </w:rPr>
              <w:t>市招生考试办公室23126083</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13B26"/>
    <w:rsid w:val="27713B26"/>
    <w:rsid w:val="3C0E5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2023-10-17T06:56:00Z</dcterms:created>
  <dc:creator>琳楚</dc:creator>
  <cp:lastModifiedBy>琳楚</cp:lastModifiedBy>
  <dcterms:modified xsi:type="dcterms:W3CDTF">2023-10-17T07:23:57Z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