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58DF7">
      <w:pPr>
        <w:pStyle w:val="2"/>
        <w:jc w:val="left"/>
        <w:rPr>
          <w:rFonts w:hint="default" w:ascii="Times New Roman" w:hAnsi="Times New Roman" w:eastAsia="仿宋_GB2312" w:cs="宋体"/>
          <w:kern w:val="0"/>
          <w:sz w:val="32"/>
          <w:szCs w:val="32"/>
          <w:shd w:val="clear" w:color="auto" w:fill="FFFFFF"/>
          <w:lang w:val="en-US" w:eastAsia="zh-CN" w:bidi="ar"/>
        </w:rPr>
      </w:pPr>
      <w:r>
        <w:rPr>
          <w:rFonts w:hint="eastAsia" w:ascii="Times New Roman" w:hAnsi="Times New Roman" w:eastAsia="仿宋_GB2312" w:cs="宋体"/>
          <w:kern w:val="0"/>
          <w:sz w:val="32"/>
          <w:szCs w:val="32"/>
          <w:shd w:val="clear" w:color="auto" w:fill="FFFFFF"/>
          <w:lang w:val="en-US" w:eastAsia="zh-CN" w:bidi="ar"/>
        </w:rPr>
        <w:t>附件</w:t>
      </w:r>
    </w:p>
    <w:p w14:paraId="213591C7">
      <w:pPr>
        <w:pStyle w:val="2"/>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eastAsia" w:ascii="方正小标宋简体" w:hAnsi="Calibri" w:eastAsia="方正小标宋简体"/>
          <w:sz w:val="44"/>
          <w:szCs w:val="44"/>
        </w:rPr>
      </w:pPr>
      <w:r>
        <w:rPr>
          <w:rFonts w:hint="eastAsia" w:ascii="方正小标宋简体" w:hAnsi="Calibri" w:eastAsia="方正小标宋简体"/>
          <w:sz w:val="44"/>
          <w:szCs w:val="44"/>
        </w:rPr>
        <w:t>202</w:t>
      </w:r>
      <w:r>
        <w:rPr>
          <w:rFonts w:hint="eastAsia" w:ascii="方正小标宋简体" w:hAnsi="Calibri" w:eastAsia="方正小标宋简体"/>
          <w:sz w:val="44"/>
          <w:szCs w:val="44"/>
          <w:lang w:val="en-US" w:eastAsia="zh-CN"/>
        </w:rPr>
        <w:t>4</w:t>
      </w:r>
      <w:r>
        <w:rPr>
          <w:rFonts w:hint="eastAsia" w:ascii="方正小标宋简体" w:hAnsi="Calibri" w:eastAsia="方正小标宋简体"/>
          <w:sz w:val="44"/>
          <w:szCs w:val="44"/>
        </w:rPr>
        <w:t>年东莞市义务教育质量监测结果应用</w:t>
      </w:r>
    </w:p>
    <w:p w14:paraId="78E6FFFF">
      <w:pPr>
        <w:pStyle w:val="2"/>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eastAsia" w:ascii="方正小标宋简体" w:hAnsi="Calibri" w:eastAsia="方正小标宋简体" w:cs="Times New Roman"/>
          <w:kern w:val="2"/>
          <w:sz w:val="44"/>
          <w:szCs w:val="44"/>
          <w:lang w:val="en-US" w:eastAsia="zh-CN" w:bidi="ar-SA"/>
        </w:rPr>
      </w:pPr>
      <w:r>
        <w:rPr>
          <w:rFonts w:hint="eastAsia" w:ascii="方正小标宋简体" w:hAnsi="Calibri" w:eastAsia="方正小标宋简体"/>
          <w:sz w:val="44"/>
          <w:szCs w:val="44"/>
        </w:rPr>
        <w:t>优秀案例</w:t>
      </w:r>
    </w:p>
    <w:tbl>
      <w:tblPr>
        <w:tblW w:w="8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7"/>
        <w:gridCol w:w="1194"/>
        <w:gridCol w:w="4025"/>
        <w:gridCol w:w="998"/>
        <w:gridCol w:w="1318"/>
        <w:gridCol w:w="775"/>
      </w:tblGrid>
      <w:tr w14:paraId="16BB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tblHeader/>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35463FBC">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bookmarkStart w:id="0" w:name="_GoBack"/>
            <w:r>
              <w:rPr>
                <w:rFonts w:hint="eastAsia" w:ascii="Times New Roman" w:hAnsi="Times New Roman" w:eastAsia="仿宋_GB2312" w:cs="仿宋_GB2312"/>
                <w:b/>
                <w:bCs/>
                <w:i w:val="0"/>
                <w:iCs w:val="0"/>
                <w:color w:val="000000"/>
                <w:kern w:val="0"/>
                <w:sz w:val="24"/>
                <w:szCs w:val="24"/>
                <w:u w:val="none"/>
                <w:bdr w:val="none" w:color="auto" w:sz="0" w:space="0"/>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14:paraId="2A574D8C">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bdr w:val="none" w:color="auto" w:sz="0" w:space="0"/>
                <w:lang w:val="en-US" w:eastAsia="zh-CN" w:bidi="ar"/>
              </w:rPr>
              <w:t>所属镇街（部门）</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7A8797DB">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bdr w:val="none" w:color="auto" w:sz="0" w:space="0"/>
                <w:lang w:val="en-US" w:eastAsia="zh-CN" w:bidi="ar"/>
              </w:rPr>
              <w:t>文章标题</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1705C34E">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bdr w:val="none" w:color="auto" w:sz="0" w:space="0"/>
                <w:lang w:val="en-US" w:eastAsia="zh-CN" w:bidi="ar"/>
              </w:rPr>
              <w:t>姓名</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6AF01421">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bdr w:val="none" w:color="auto" w:sz="0" w:space="0"/>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09B1CA7D">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bdr w:val="none" w:color="auto" w:sz="0" w:space="0"/>
                <w:lang w:val="en-US" w:eastAsia="zh-CN" w:bidi="ar"/>
              </w:rPr>
              <w:t>评审结课</w:t>
            </w:r>
          </w:p>
        </w:tc>
      </w:tr>
      <w:tr w14:paraId="2068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69FF3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02B285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市直属</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0413BA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基于AI课堂观察分析系统数据驱动的群诗主题阅读教学优化实践案例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4069F2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胡傢允</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158559E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东莞市东莞中学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6D709B4">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3A89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3172EE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6D9F468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市直属</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69529D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基于质量监测结果应用的小学科学教学改进实践案例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47FBFD4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凌滨</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19C6DFC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东莞市东华小学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4804146A">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7A5C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7C4C41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54CC351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茶山</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3ED021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构建“六位一体”体育评价模式，提升学生体育核心素养</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6580FC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何庆宏</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E768E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东莞市茶山镇第三小学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4D53E26E">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913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57779A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14:paraId="7CC1A7E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茶山</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577744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从行政力推动到要素式推进：提升镇域小初学业质量的五年实践</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6B59EE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杨稚君</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6E9A9C2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东莞市茶山镇教育管理中心</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735EBAF">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830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7493AA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14:paraId="687226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常平</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714A4E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节奏训练法改进小学生单摇跳绳学习效果案例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36277D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许景荣</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16B825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常平第四小学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DEA7CF5">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0CC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5181D49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14:paraId="28A8182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常平</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124A1A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“统计与概率”领域的高层次能力培养——以“单式折线统计图”为例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1094029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钟柱芬</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08ADED1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常平镇土塘小学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78DAFF94">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8C4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644899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7</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14:paraId="67A1246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大岭山</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76E7A7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诊断与改进：指向学科核心素养的数学学习</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63D34FF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方贵燃</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541E94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东莞市大岭山镇第二小学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3283D8D3">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0596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6D457E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14:paraId="6E6054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大岭山</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B8FD35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小学体育与健康“1+X”教学对学生体质健康测试成绩的影响</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245A45E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孙子良</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673B29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东莞市大岭山镇实验小学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3D37D30D">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536A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0364AC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9</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7D7226C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道滘</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5BBDC75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以“评价”驱动，让“阅读”可见——质量监测驱动下小学语文整本书阅读作业的评价改革案例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42F7EE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杨燕红</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0BC7B6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道滘镇小河小学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8F79D79">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18D1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98D02E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10</w:t>
            </w:r>
          </w:p>
        </w:tc>
        <w:tc>
          <w:tcPr>
            <w:tcW w:w="1194" w:type="dxa"/>
            <w:tcBorders>
              <w:top w:val="single" w:color="000000" w:sz="4" w:space="0"/>
              <w:left w:val="single" w:color="000000" w:sz="4" w:space="0"/>
              <w:bottom w:val="single" w:color="000000" w:sz="4" w:space="0"/>
              <w:right w:val="single" w:color="000000" w:sz="4" w:space="0"/>
            </w:tcBorders>
            <w:shd w:val="clear"/>
            <w:noWrap/>
            <w:vAlign w:val="center"/>
          </w:tcPr>
          <w:p w14:paraId="66F2F1D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东坑</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523322C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优化均衡：基于东莞市2022年教育质量综合评价的镇内联片教研改进策略案例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3960E95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卢杰鹏</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6F54FF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东莞市东坑镇教育管理中心</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512306D5">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3A1D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27FA327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11</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24188C3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莞城</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814F8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“二维六路”策略下的区域课程改革与创新</w:t>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br w:type="textWrapping"/>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——基于监测结果运用的区域美术教育提升案例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091FE22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曾连春</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8A1C31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东莞市莞城教育管理中心</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914E77A">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C95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4AFF92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12</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1A9BD7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莞城</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04B702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“双减”背景下的小学数学变式作业设计与实践研究</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62F5D74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张耀胜</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BD4F3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东莞市莞城平乐坊小学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5ADD982B">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6132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50D02F1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13</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6D22DF1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厚街</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6AEC189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义务教育质量监测结果应用下初中生物生活化教学的社会责任培养策略</w:t>
            </w:r>
            <w:r>
              <w:rPr>
                <w:rStyle w:val="8"/>
                <w:rFonts w:ascii="Times New Roman" w:hAnsi="Times New Roman" w:eastAsia="仿宋_GB2312"/>
                <w:bdr w:val="none" w:color="auto" w:sz="0" w:space="0"/>
                <w:lang w:val="en-US" w:eastAsia="zh-CN" w:bidi="ar"/>
              </w:rPr>
              <w:t>——</w:t>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以《输血与血型》一课为例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12457C1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陈培纯</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2E4705B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东莞市竹溪中学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527A9687">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7823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189CB7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14</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340BD5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黄江</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33FF5C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基于质量监测结果运用的小学语文“1+6+N”阅读策略研究</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5CB3A7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张静仪</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2BE5DA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东莞市黄江镇实验小学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ABEB0D1">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03B9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0BB3488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15</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70BFA2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寮步</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79DCCB9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基于监测结果的“三板一线”教学范式应用——以寮步镇小学语文学科为例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0D5A8A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陈升旭</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64BA44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东莞市寮步镇西溪小学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0FD98947">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2091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444CE9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16</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47957B1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寮步</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267EEF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构建科学教师评价机制，助力学校教育质量提升</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021134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钟凤玲、梁慧芬</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55894E0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东莞市寮步镇香城小学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3BE9E3F3">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370E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2C1FA0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17</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529852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寮步</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34C79D2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数据驱动背景下的小学语文精准教学实践案例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358BEA6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叶梦佳</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60202E8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东莞市寮步镇香市第一小学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172EEE4">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22F4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27ECFB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18</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4531BAA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清溪</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699A7D7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慧问引思，优化课堂提问策略以促教学相长</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32802F1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蔡文煊</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6627A1A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东莞市清溪镇第三小学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28E5F9AF">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6F61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0FB15CE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19</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241B77E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清溪</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63CC2BE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深化教育评价改革，赋能教师专业成长</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3E38EF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蔡文煊</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40059C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东莞市清溪镇第三小学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28E051A1">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3D7D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26FD37E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20</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5E17A47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沙田</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E4D9E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分层·可视·多元：基于质量监测结果的小学“1+2+X”增值评价研究</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487E813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蒋珊</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45DC37E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东莞市沙田镇中心小学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3D0F0790">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69E5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466E47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21</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4700D3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石碣</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5E1914B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基于质量监测背景下小学劳动教育“三三四”课程体系构建与研究</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437D2C3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何丽嫱</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1173831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东莞市石碣镇中心小学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093E8BED">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CD5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6EC5CCD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22</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373F08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石碣</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23DA628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色彩数学：涂画激发学习兴趣——基于数学监测的应用案例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133615B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易敏</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70AD3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东莞市石碣序伦小学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4D2A8A0F">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7521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38E8A6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23</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0CB4E42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石龙</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71F625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“3进5评”多元激励评价赋能劳动教育</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3AE1ED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袁雪映</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6FB0087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石龙镇爱联学校</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56D009C1">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5ECB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8"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6373B7D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24</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7425424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石排</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55DA98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以监测结果为导向，以文化为载体，积累提升学生语文素养</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52AE500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王奕帏、</w:t>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br w:type="textWrapping"/>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郭妙玲、</w:t>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br w:type="textWrapping"/>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叶颖彤、</w:t>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br w:type="textWrapping"/>
            </w: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谭颖</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1F964CB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东莞市石排镇中心小学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4CCF1C6E">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1650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4168137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25</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305D2F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松山湖</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711AEF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基于元认知培养的小学数学“四段式”问题解决教学路径</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5CA5E16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黎燕</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3C4B286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东莞松山湖教育管理中心</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25401496">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92F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6B86B66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26</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5C412B6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松山湖</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611CE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基于学科核心素养的学生学业质量评价校本化探索</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081E065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张永华</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11F775B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东莞松山湖实验小学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4CE6440D">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169B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6826A20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27</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7AF9F7B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松山湖</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14D969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探索增值评价，促进学生全面而有个性的发展</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09A067F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张四维</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0794F6C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东莞市松山湖第二小学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2C98905">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ABC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04CE1F3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28</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2B1338C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万江</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41BA42A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增值评价启新程慧美少年展风采</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6EFA931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陈干华</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089981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东莞市万江第五小学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2F868F68">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D42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3DC4C74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29</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547D4F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谢岗</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2C448A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以实证分析探索基于大概念的小学数学单元教学设计策略——以人教版六年级上册“圆”的单元教学为例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2F1C8137">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罗柱森</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03A34C5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东莞市谢岗镇黎村小学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0F93AABA">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24A9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DC5978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30</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7DF2CAA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谢岗</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3973655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善良让我如此美丽——校家社协同育人视域下防范小学生校园欺凌的改进案例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44D54F22">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罗柱森、罗艳萍</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5D2B281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东莞市谢岗镇黎村小学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24E44A47">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2F80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4918AB3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31</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429539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谢岗</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0EE986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启迪科学思维，培育探究能力——基于国家义务教育质量监测结果小学科学教学改进案例</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556C61D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姜玲</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214CB0E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东莞市谢岗镇黎村小学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14F2FAB3">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624C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45A7AF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32</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74025B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樟木头</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7B24E1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香樟经典诵读，让每一个生命蓬勃向上——基于监测结果，重构古诗文诵读，崇尚高质量发展</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7D35F26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叶敏聪</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1EFEB9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东莞市樟木头镇中心小学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10425947">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235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4"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8214FA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33</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1F1C212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樟木头</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5C5228F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五步·四线·一体：打好儿童真实阅读组合拳</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487EE3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吴显峰、陈慧君、陈丽娜</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3A0ABB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东莞市樟木头镇实验小学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1E235249">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tr w14:paraId="4BC8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487E8D9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34</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14:paraId="5367982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长安</w:t>
            </w:r>
          </w:p>
        </w:tc>
        <w:tc>
          <w:tcPr>
            <w:tcW w:w="4025" w:type="dxa"/>
            <w:tcBorders>
              <w:top w:val="single" w:color="000000" w:sz="4" w:space="0"/>
              <w:left w:val="single" w:color="000000" w:sz="4" w:space="0"/>
              <w:bottom w:val="single" w:color="000000" w:sz="4" w:space="0"/>
              <w:right w:val="single" w:color="000000" w:sz="4" w:space="0"/>
            </w:tcBorders>
            <w:shd w:val="clear"/>
            <w:vAlign w:val="center"/>
          </w:tcPr>
          <w:p w14:paraId="2919B52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“乐见”评价——核心素养视角下的学生成长评价体系构建与实施</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1190EBD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bdr w:val="none" w:color="auto" w:sz="0" w:space="0"/>
                <w:lang w:val="en-US" w:eastAsia="zh-CN" w:bidi="ar"/>
              </w:rPr>
              <w:t>钟秀群、刘健丹</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14:paraId="7CBB9F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东莞市长安镇实验小学</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0E364A81">
            <w:pPr>
              <w:keepNext w:val="0"/>
              <w:keepLines w:val="0"/>
              <w:widowControl/>
              <w:suppressLineNumbers w:val="0"/>
              <w:jc w:val="center"/>
              <w:textAlignment w:val="center"/>
              <w:rPr>
                <w:rFonts w:hint="eastAsia" w:ascii="Times New Roman" w:hAnsi="Times New Roman" w:eastAsia="仿宋_GB2312" w:cs="宋体"/>
                <w:i w:val="0"/>
                <w:iCs w:val="0"/>
                <w:color w:val="000000"/>
                <w:sz w:val="22"/>
                <w:szCs w:val="22"/>
                <w:u w:val="none"/>
              </w:rPr>
            </w:pPr>
            <w:r>
              <w:rPr>
                <w:rFonts w:hint="eastAsia" w:ascii="Times New Roman" w:hAnsi="Times New Roman" w:eastAsia="仿宋_GB2312" w:cs="宋体"/>
                <w:i w:val="0"/>
                <w:iCs w:val="0"/>
                <w:color w:val="000000"/>
                <w:kern w:val="0"/>
                <w:sz w:val="22"/>
                <w:szCs w:val="22"/>
                <w:u w:val="none"/>
                <w:bdr w:val="none" w:color="auto" w:sz="0" w:space="0"/>
                <w:lang w:val="en-US" w:eastAsia="zh-CN" w:bidi="ar"/>
              </w:rPr>
              <w:t>优秀</w:t>
            </w:r>
          </w:p>
        </w:tc>
      </w:tr>
      <w:bookmarkEnd w:id="0"/>
    </w:tbl>
    <w:p w14:paraId="2420B571"/>
    <w:sectPr>
      <w:headerReference r:id="rId3" w:type="default"/>
      <w:footerReference r:id="rId4"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6A41">
    <w:pPr>
      <w:pStyle w:val="3"/>
      <w:wordWrap w:val="0"/>
      <w:spacing w:line="400" w:lineRule="exact"/>
      <w:ind w:left="1106" w:right="91" w:firstLine="360" w:firstLineChars="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p w14:paraId="3CEE340B">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34D9">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A657A"/>
    <w:rsid w:val="6D6A657A"/>
    <w:rsid w:val="79B4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qFormat/>
    <w:uiPriority w:val="99"/>
    <w:pPr>
      <w:widowControl w:val="0"/>
      <w:tabs>
        <w:tab w:val="center" w:pos="4153"/>
        <w:tab w:val="right" w:pos="8306"/>
      </w:tabs>
      <w:snapToGrid w:val="0"/>
      <w:spacing w:line="560" w:lineRule="exact"/>
      <w:ind w:firstLine="880" w:firstLineChars="200"/>
      <w:jc w:val="left"/>
    </w:pPr>
    <w:rPr>
      <w:rFonts w:ascii="Calibri" w:hAnsi="Calibri" w:eastAsia="仿宋_GB2312" w:cs="Times New Roman"/>
      <w:kern w:val="2"/>
      <w:sz w:val="18"/>
      <w:szCs w:val="24"/>
      <w:lang w:val="en-US" w:eastAsia="zh-CN" w:bidi="ar-SA"/>
    </w:rPr>
  </w:style>
  <w:style w:type="paragraph" w:styleId="4">
    <w:name w:val="header"/>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880" w:firstLineChars="200"/>
      <w:jc w:val="both"/>
      <w:outlineLvl w:val="9"/>
    </w:pPr>
    <w:rPr>
      <w:rFonts w:ascii="Calibri" w:hAnsi="Calibri" w:eastAsia="仿宋_GB2312" w:cs="Times New Roman"/>
      <w:kern w:val="2"/>
      <w:sz w:val="18"/>
      <w:szCs w:val="24"/>
      <w:lang w:val="en-US" w:eastAsia="zh-CN" w:bidi="ar-SA"/>
    </w:rPr>
  </w:style>
  <w:style w:type="character" w:customStyle="1" w:styleId="7">
    <w:name w:val="font31"/>
    <w:basedOn w:val="6"/>
    <w:qFormat/>
    <w:uiPriority w:val="0"/>
    <w:rPr>
      <w:rFonts w:hint="eastAsia" w:ascii="仿宋_GB2312" w:eastAsia="仿宋_GB2312" w:cs="仿宋_GB2312"/>
      <w:color w:val="000000"/>
      <w:sz w:val="24"/>
      <w:szCs w:val="24"/>
      <w:u w:val="none"/>
    </w:rPr>
  </w:style>
  <w:style w:type="character" w:customStyle="1" w:styleId="8">
    <w:name w:val="font61"/>
    <w:basedOn w:val="6"/>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1616</Words>
  <Characters>1658</Characters>
  <Lines>0</Lines>
  <Paragraphs>0</Paragraphs>
  <TotalTime>4</TotalTime>
  <ScaleCrop>false</ScaleCrop>
  <LinksUpToDate>false</LinksUpToDate>
  <CharactersWithSpaces>1663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2024-12-19T03:43:00Z</dcterms:created>
  <dc:creator>黎燕君</dc:creator>
  <cp:lastModifiedBy>chendy</cp:lastModifiedBy>
  <dcterms:modified xsi:type="dcterms:W3CDTF">2024-12-19T08:14:13Z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737020A887BE491EA5E6864D9C86A6FE_11</vt:lpwstr>
  </property>
</Properties>
</file>