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pacing w:val="20"/>
          <w:sz w:val="32"/>
          <w:szCs w:val="32"/>
        </w:rPr>
      </w:pPr>
      <w:r>
        <w:rPr>
          <w:rFonts w:ascii="Times New Roman" w:hAnsi="Times New Roman" w:eastAsia="黑体" w:cs="Times New Roman"/>
          <w:spacing w:val="20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"/>
        </w:rPr>
        <w:t>国家</w:t>
      </w:r>
      <w:r>
        <w:rPr>
          <w:rFonts w:ascii="Times New Roman" w:hAnsi="Times New Roman" w:eastAsia="方正小标宋简体" w:cs="Times New Roman"/>
          <w:sz w:val="44"/>
          <w:szCs w:val="44"/>
          <w:lang w:bidi="ar"/>
        </w:rPr>
        <w:t>高等教育自学考试违规物品种类清单</w:t>
      </w:r>
    </w:p>
    <w:tbl>
      <w:tblPr>
        <w:tblStyle w:val="4"/>
        <w:tblpPr w:leftFromText="180" w:rightFromText="180" w:vertAnchor="text" w:horzAnchor="page" w:tblpX="1653" w:tblpY="247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1962"/>
        <w:gridCol w:w="56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物品类别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物品名称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通讯工具类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手机、平板电脑、无线耳机、智能手表、运动手环及其他无线接收、传送设备等具有通信功能的工具。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6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二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纸质材料类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书刊、报纸、稿纸、图片、参考资料、写有字迹的纸张（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准考证）等。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三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电子用品类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具有存储、查询、编程、录音、扫描及摄像功能的电子设备。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5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四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文具类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涂改液、修正带、不透明的文具盒（袋、套）等与考试无关的文具。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五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危害安全类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易燃、易爆、管制刀具、枪支等物品。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1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六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其他类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不透明水杯（含饮料）。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951CE"/>
    <w:rsid w:val="0D09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21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2025-01-03T10:16:00Z</dcterms:created>
  <dc:creator>王凤仪</dc:creator>
  <cp:lastModifiedBy>王凤仪</cp:lastModifiedBy>
  <dcterms:modified xsi:type="dcterms:W3CDTF">2025-01-03T10:16:57Z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0AF0BB900B77453DBEFACA1AF2848DA8</vt:lpwstr>
  </property>
</Properties>
</file>